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AA74" w14:textId="77777777" w:rsidR="000D7472" w:rsidRDefault="000D7472"/>
    <w:p w14:paraId="7C9C6B54" w14:textId="7E80C531" w:rsidR="00425103" w:rsidRPr="000D7472" w:rsidRDefault="007647E9" w:rsidP="00006999">
      <w:pPr>
        <w:jc w:val="left"/>
        <w:rPr>
          <w:b/>
          <w:bCs/>
          <w:smallCaps/>
          <w:sz w:val="32"/>
          <w:szCs w:val="36"/>
        </w:rPr>
      </w:pPr>
      <w:r>
        <w:rPr>
          <w:b/>
          <w:bCs/>
          <w:smallCaps/>
          <w:sz w:val="32"/>
          <w:szCs w:val="36"/>
        </w:rPr>
        <w:t>Taustapaber</w:t>
      </w:r>
    </w:p>
    <w:p w14:paraId="2C078E63" w14:textId="1FA0BB55" w:rsidR="0027219A" w:rsidRPr="000D7472" w:rsidRDefault="00E04D05" w:rsidP="004022FA">
      <w:pPr>
        <w:pStyle w:val="Pealkiri1"/>
      </w:pPr>
      <w:r>
        <w:t>Blokeerimismeetme</w:t>
      </w:r>
      <w:r w:rsidR="00695ACA">
        <w:t>d</w:t>
      </w:r>
      <w:r w:rsidR="000D1AF4" w:rsidRPr="000D7472">
        <w:t xml:space="preserve"> </w:t>
      </w:r>
    </w:p>
    <w:p w14:paraId="4B67B5D1" w14:textId="148A7936" w:rsidR="000D7472" w:rsidRPr="00CA14DC" w:rsidRDefault="004B1A4D" w:rsidP="000D7472">
      <w:pPr>
        <w:jc w:val="right"/>
      </w:pPr>
      <w:r w:rsidRPr="00E66F77">
        <w:t>0</w:t>
      </w:r>
      <w:r w:rsidR="00E66F77">
        <w:t>8</w:t>
      </w:r>
      <w:r w:rsidR="000D7472" w:rsidRPr="00E66F77">
        <w:t>.</w:t>
      </w:r>
      <w:r w:rsidR="00CA0A39" w:rsidRPr="00E66F77">
        <w:t>0</w:t>
      </w:r>
      <w:r w:rsidRPr="00E66F77">
        <w:t>5</w:t>
      </w:r>
      <w:r w:rsidR="000D7472" w:rsidRPr="00E66F77">
        <w:t>.202</w:t>
      </w:r>
      <w:r w:rsidR="00CA0A39" w:rsidRPr="00E66F77">
        <w:t>6</w:t>
      </w:r>
    </w:p>
    <w:p w14:paraId="4C8997A0" w14:textId="77777777" w:rsidR="0078567C" w:rsidRDefault="0078567C"/>
    <w:p w14:paraId="2479C007" w14:textId="781763BE" w:rsidR="000D1AF4" w:rsidRDefault="0078567C">
      <w:r>
        <w:t xml:space="preserve">Justiits- ja </w:t>
      </w:r>
      <w:r w:rsidR="006B5FDA">
        <w:t>D</w:t>
      </w:r>
      <w:r>
        <w:t>igiministeeriumi</w:t>
      </w:r>
      <w:r w:rsidR="008D4A30">
        <w:t xml:space="preserve"> (JDM)</w:t>
      </w:r>
      <w:r>
        <w:t xml:space="preserve"> </w:t>
      </w:r>
      <w:r w:rsidRPr="0078567C">
        <w:t>intellektuaalomandi ja konkurentsiõiguse talitus</w:t>
      </w:r>
      <w:r w:rsidR="00F47A7A">
        <w:t xml:space="preserve"> (IOT)</w:t>
      </w:r>
      <w:r>
        <w:t xml:space="preserve"> kutsub Teid </w:t>
      </w:r>
      <w:r w:rsidR="00695ACA">
        <w:t>andma</w:t>
      </w:r>
      <w:r w:rsidR="009316B4">
        <w:t xml:space="preserve"> </w:t>
      </w:r>
      <w:r w:rsidR="00695ACA">
        <w:t xml:space="preserve">tagasisidet </w:t>
      </w:r>
      <w:r w:rsidR="000C3F53">
        <w:t>blokeerimismeetmete</w:t>
      </w:r>
      <w:r w:rsidR="009316B4">
        <w:t xml:space="preserve"> teemal</w:t>
      </w:r>
      <w:r w:rsidR="0050478A">
        <w:t>.</w:t>
      </w:r>
    </w:p>
    <w:p w14:paraId="5DB2D144" w14:textId="77777777" w:rsidR="0078567C" w:rsidRDefault="0078567C"/>
    <w:tbl>
      <w:tblPr>
        <w:tblStyle w:val="TableGrid"/>
        <w:tblW w:w="10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9860"/>
      </w:tblGrid>
      <w:tr w:rsidR="00273022" w14:paraId="78262971" w14:textId="77777777" w:rsidTr="00E84D5A">
        <w:tc>
          <w:tcPr>
            <w:tcW w:w="1048" w:type="dxa"/>
          </w:tcPr>
          <w:p w14:paraId="40AFA0C0" w14:textId="67A5420A" w:rsidR="00273022" w:rsidRPr="00D60270" w:rsidRDefault="00273022" w:rsidP="00A54344">
            <w:pPr>
              <w:rPr>
                <w:b/>
                <w:bCs/>
              </w:rPr>
            </w:pPr>
            <w:r>
              <w:rPr>
                <w:b/>
                <w:bCs/>
              </w:rPr>
              <w:t>Miks</w:t>
            </w:r>
          </w:p>
        </w:tc>
        <w:tc>
          <w:tcPr>
            <w:tcW w:w="9860" w:type="dxa"/>
          </w:tcPr>
          <w:p w14:paraId="16F92E2C" w14:textId="77777777" w:rsidR="00185D65" w:rsidRDefault="00273022" w:rsidP="004724AE">
            <w:r>
              <w:t xml:space="preserve">Kuna </w:t>
            </w:r>
            <w:r w:rsidR="000C3F53">
              <w:t>21.10.2025 korraldatud autoriõiguse teemalisel ümarlaual käsitati mitmeid teemasid</w:t>
            </w:r>
            <w:r w:rsidR="003E5830">
              <w:t xml:space="preserve"> ja</w:t>
            </w:r>
            <w:r w:rsidR="000C3F53">
              <w:t xml:space="preserve"> blokeerimismeetme</w:t>
            </w:r>
            <w:r w:rsidR="003E5830">
              <w:t xml:space="preserve">d </w:t>
            </w:r>
            <w:r w:rsidR="00DA2EE2">
              <w:t>said palju kõlapinda</w:t>
            </w:r>
            <w:r w:rsidR="003E5830">
              <w:t>, peab IOT otstarbekaks jätkata arutelusid</w:t>
            </w:r>
            <w:r w:rsidR="006A2176">
              <w:t xml:space="preserve"> </w:t>
            </w:r>
            <w:r w:rsidR="003E5830">
              <w:t>kitsamalt blokeerimismeetmetele</w:t>
            </w:r>
            <w:r w:rsidR="006A2176">
              <w:t xml:space="preserve"> keskendudes</w:t>
            </w:r>
            <w:r w:rsidR="00955F06">
              <w:t>.</w:t>
            </w:r>
            <w:r w:rsidR="004724AE">
              <w:t xml:space="preserve"> </w:t>
            </w:r>
          </w:p>
          <w:p w14:paraId="73335AF5" w14:textId="2D22468C" w:rsidR="004724AE" w:rsidRDefault="004724AE" w:rsidP="004724AE">
            <w:r>
              <w:t>Eesti püsib veebipiraatluse poolest EL-is esirinnas. Vastavalt EUIPO uuringule tehakse Eestis ebaseadusliku veebisisu kättesaamiseks ~23 päringut kuus</w:t>
            </w:r>
            <w:r w:rsidRPr="00EF5453">
              <w:t xml:space="preserve"> </w:t>
            </w:r>
            <w:r>
              <w:t>kasutaja kohta (2023. aasta näitel). See näitaja jääb alla vaid Lätile (~28 päringut kuus kasutaja kohta). Seejuures on EL-i keskmine ~10 päringut kuus kasutaja kohta.</w:t>
            </w:r>
            <w:r>
              <w:rPr>
                <w:rStyle w:val="FootnoteReference"/>
              </w:rPr>
              <w:footnoteReference w:id="1"/>
            </w:r>
            <w:r>
              <w:t xml:space="preserve"> </w:t>
            </w:r>
          </w:p>
          <w:p w14:paraId="2CB6B40D" w14:textId="3E2994D1" w:rsidR="00273022" w:rsidRDefault="004724AE" w:rsidP="004724AE">
            <w:r>
              <w:t xml:space="preserve">Mida rohkem tarbitakse ebaseaduslikku veebisisu, seda suurem kahju kaasneb õiguste omajatele. Kui ebaseaduslikule veebisisule juurde pääsemine on tehtud võimatuks või väga keeruliseks, võib see suunata kasutajaid n-ö seaduslikke kanaleid pidi veebisisule juurde pääsema. Piraatluse vastaseks võitluseks võib olla mitmeid mooduseid (tehnoloogilised lahendused, </w:t>
            </w:r>
            <w:proofErr w:type="spellStart"/>
            <w:r w:rsidRPr="001266E6">
              <w:rPr>
                <w:i/>
                <w:iCs/>
              </w:rPr>
              <w:t>legal</w:t>
            </w:r>
            <w:proofErr w:type="spellEnd"/>
            <w:r w:rsidRPr="001266E6">
              <w:rPr>
                <w:i/>
                <w:iCs/>
              </w:rPr>
              <w:t xml:space="preserve"> </w:t>
            </w:r>
            <w:proofErr w:type="spellStart"/>
            <w:r w:rsidRPr="001266E6">
              <w:rPr>
                <w:i/>
                <w:iCs/>
              </w:rPr>
              <w:t>offers</w:t>
            </w:r>
            <w:proofErr w:type="spellEnd"/>
            <w:r>
              <w:t xml:space="preserve"> ehk seaduslike pakkumiste olemasolu, õiguste jõustamise mehhanismid ja teavituskampaaniad).</w:t>
            </w:r>
            <w:r>
              <w:rPr>
                <w:rStyle w:val="FootnoteReference"/>
              </w:rPr>
              <w:footnoteReference w:id="2"/>
            </w:r>
            <w:r>
              <w:t xml:space="preserve"> Käesolevas taustapaberis analüüsitakse õiguste jõustamise mehhanismide tõhustamis</w:t>
            </w:r>
            <w:r w:rsidR="00593B26">
              <w:t>e võimalikkust</w:t>
            </w:r>
            <w:r>
              <w:t>.</w:t>
            </w:r>
          </w:p>
        </w:tc>
      </w:tr>
      <w:tr w:rsidR="00C8260D" w14:paraId="743A1819" w14:textId="77777777" w:rsidTr="00E84D5A">
        <w:tc>
          <w:tcPr>
            <w:tcW w:w="1048" w:type="dxa"/>
          </w:tcPr>
          <w:p w14:paraId="66AD6C53" w14:textId="6844FB17" w:rsidR="00C8260D" w:rsidRPr="00D60270" w:rsidRDefault="009D663B" w:rsidP="00A54344">
            <w:pPr>
              <w:rPr>
                <w:b/>
                <w:bCs/>
              </w:rPr>
            </w:pPr>
            <w:r w:rsidRPr="00D60270">
              <w:rPr>
                <w:b/>
                <w:bCs/>
              </w:rPr>
              <w:t>Mis</w:t>
            </w:r>
          </w:p>
        </w:tc>
        <w:tc>
          <w:tcPr>
            <w:tcW w:w="9860" w:type="dxa"/>
          </w:tcPr>
          <w:p w14:paraId="29BD0147" w14:textId="13725325" w:rsidR="00863236" w:rsidRDefault="00FD7EBB" w:rsidP="00A54344">
            <w:r>
              <w:t>Taustapaber koos küsimustega</w:t>
            </w:r>
            <w:r w:rsidR="00863236">
              <w:t>:</w:t>
            </w:r>
          </w:p>
          <w:p w14:paraId="5052C285" w14:textId="77777777" w:rsidR="00582B9C" w:rsidRDefault="00904537">
            <w:pPr>
              <w:pStyle w:val="TOC1"/>
              <w:tabs>
                <w:tab w:val="left" w:pos="44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r>
              <w:rPr>
                <w:b w:val="0"/>
                <w:bCs w:val="0"/>
              </w:rPr>
              <w:fldChar w:fldCharType="begin"/>
            </w:r>
            <w:r>
              <w:rPr>
                <w:b w:val="0"/>
                <w:bCs w:val="0"/>
              </w:rPr>
              <w:instrText xml:space="preserve"> TOC \o "2-2" \n \p " " \h \z \t "Heading 1;1;List tasand 1;1;List tasand 2;1" </w:instrText>
            </w:r>
            <w:r>
              <w:rPr>
                <w:b w:val="0"/>
                <w:bCs w:val="0"/>
              </w:rPr>
              <w:fldChar w:fldCharType="separate"/>
            </w:r>
            <w:hyperlink w:anchor="_Toc229141285" w:history="1">
              <w:r w:rsidR="00582B9C" w:rsidRPr="00686F5B">
                <w:rPr>
                  <w:rStyle w:val="Hyperlink"/>
                  <w:noProof/>
                </w:rPr>
                <w:t>1.</w:t>
              </w:r>
              <w:r w:rsidR="00582B9C"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="00582B9C" w:rsidRPr="00686F5B">
                <w:rPr>
                  <w:rStyle w:val="Hyperlink"/>
                  <w:noProof/>
                </w:rPr>
                <w:t>Mõisted</w:t>
              </w:r>
            </w:hyperlink>
          </w:p>
          <w:p w14:paraId="11FD54E4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86" w:history="1">
              <w:r w:rsidRPr="00686F5B">
                <w:rPr>
                  <w:rStyle w:val="Hyperlink"/>
                  <w:noProof/>
                </w:rPr>
                <w:t>1.1.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Põhilised taustapaberis kasutatud mõisted</w:t>
              </w:r>
            </w:hyperlink>
          </w:p>
          <w:p w14:paraId="3EAE69DF" w14:textId="77777777" w:rsidR="00582B9C" w:rsidRDefault="00582B9C">
            <w:pPr>
              <w:pStyle w:val="TOC1"/>
              <w:tabs>
                <w:tab w:val="left" w:pos="44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87" w:history="1">
              <w:r w:rsidRPr="00686F5B">
                <w:rPr>
                  <w:rStyle w:val="Hyperlink"/>
                  <w:noProof/>
                </w:rPr>
                <w:t>2.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Blokeerimismeetmed kehtivas õiguses (EL ja Eesti)</w:t>
              </w:r>
            </w:hyperlink>
          </w:p>
          <w:p w14:paraId="44206EF2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88" w:history="1">
              <w:r w:rsidRPr="00686F5B">
                <w:rPr>
                  <w:rStyle w:val="Hyperlink"/>
                  <w:noProof/>
                </w:rPr>
                <w:t>2.1.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Blokeerimismeetmed EL õiguses.</w:t>
              </w:r>
            </w:hyperlink>
          </w:p>
          <w:p w14:paraId="2B4D1913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89" w:history="1">
              <w:r w:rsidRPr="00686F5B">
                <w:rPr>
                  <w:rStyle w:val="Hyperlink"/>
                  <w:noProof/>
                </w:rPr>
                <w:t>2.2.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Blokeerimismeetmed EL LR-des</w:t>
              </w:r>
            </w:hyperlink>
          </w:p>
          <w:p w14:paraId="47C7BB9A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0" w:history="1">
              <w:r w:rsidRPr="00686F5B">
                <w:rPr>
                  <w:rStyle w:val="Hyperlink"/>
                  <w:noProof/>
                </w:rPr>
                <w:t>2.3.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Veebisisu blokeerimine Eesti kehtivas õiguses</w:t>
              </w:r>
            </w:hyperlink>
          </w:p>
          <w:p w14:paraId="5474EAA5" w14:textId="77777777" w:rsidR="00582B9C" w:rsidRDefault="00582B9C">
            <w:pPr>
              <w:pStyle w:val="TOC1"/>
              <w:tabs>
                <w:tab w:val="left" w:pos="44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1" w:history="1">
              <w:r w:rsidRPr="00686F5B">
                <w:rPr>
                  <w:rStyle w:val="Hyperlink"/>
                  <w:noProof/>
                </w:rPr>
                <w:t>3.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Lahendusvariandid Eesti õiguses</w:t>
              </w:r>
            </w:hyperlink>
          </w:p>
          <w:p w14:paraId="245AA4C5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2" w:history="1">
              <w:r w:rsidRPr="00686F5B">
                <w:rPr>
                  <w:rStyle w:val="Hyperlink"/>
                  <w:noProof/>
                </w:rPr>
                <w:t>3.1.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Pädev asutus</w:t>
              </w:r>
            </w:hyperlink>
          </w:p>
          <w:p w14:paraId="446FD177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3" w:history="1">
              <w:r w:rsidRPr="00686F5B">
                <w:rPr>
                  <w:rStyle w:val="Hyperlink"/>
                  <w:noProof/>
                </w:rPr>
                <w:t>3.2.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Ettekirjutuse adressaat</w:t>
              </w:r>
            </w:hyperlink>
          </w:p>
          <w:p w14:paraId="10C3890A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4" w:history="1">
              <w:r w:rsidRPr="00686F5B">
                <w:rPr>
                  <w:rStyle w:val="Hyperlink"/>
                  <w:noProof/>
                </w:rPr>
                <w:t>3.3.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Vahendaja menetlusse kaasamine</w:t>
              </w:r>
            </w:hyperlink>
          </w:p>
          <w:p w14:paraId="386D110F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5" w:history="1">
              <w:r w:rsidRPr="00686F5B">
                <w:rPr>
                  <w:rStyle w:val="Hyperlink"/>
                  <w:noProof/>
                </w:rPr>
                <w:t>3.4.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Lubatavad tehnilised meetmed</w:t>
              </w:r>
            </w:hyperlink>
          </w:p>
          <w:p w14:paraId="4B3450C7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6" w:history="1">
              <w:r w:rsidRPr="00686F5B">
                <w:rPr>
                  <w:rStyle w:val="Hyperlink"/>
                  <w:noProof/>
                </w:rPr>
                <w:t>3.5.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Kas ettekirjutuses on tehnilised vahendid määratlemata või kindlaks määratud</w:t>
              </w:r>
            </w:hyperlink>
          </w:p>
          <w:p w14:paraId="310BC473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7" w:history="1">
              <w:r w:rsidRPr="00686F5B">
                <w:rPr>
                  <w:rStyle w:val="Hyperlink"/>
                  <w:noProof/>
                </w:rPr>
                <w:t>3.6.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Ajaline piir ja meetme asjakohasuse hindamine</w:t>
              </w:r>
            </w:hyperlink>
          </w:p>
          <w:p w14:paraId="2B7C47AB" w14:textId="77777777" w:rsidR="00582B9C" w:rsidRDefault="00582B9C">
            <w:pPr>
              <w:pStyle w:val="TOC1"/>
              <w:tabs>
                <w:tab w:val="left" w:pos="660"/>
                <w:tab w:val="right" w:pos="10790"/>
              </w:tabs>
              <w:rPr>
                <w:b w:val="0"/>
                <w:bCs w:val="0"/>
                <w:noProof/>
                <w:kern w:val="2"/>
                <w:sz w:val="24"/>
                <w:szCs w:val="24"/>
                <w:lang w:eastAsia="et-EE"/>
                <w14:ligatures w14:val="standardContextual"/>
              </w:rPr>
            </w:pPr>
            <w:hyperlink w:anchor="_Toc229141298" w:history="1">
              <w:r w:rsidRPr="00686F5B">
                <w:rPr>
                  <w:rStyle w:val="Hyperlink"/>
                  <w:noProof/>
                </w:rPr>
                <w:t>3.7.</w:t>
              </w:r>
              <w:r>
                <w:rPr>
                  <w:b w:val="0"/>
                  <w:bCs w:val="0"/>
                  <w:noProof/>
                  <w:kern w:val="2"/>
                  <w:sz w:val="24"/>
                  <w:szCs w:val="24"/>
                  <w:lang w:eastAsia="et-EE"/>
                  <w14:ligatures w14:val="standardContextual"/>
                </w:rPr>
                <w:tab/>
              </w:r>
              <w:r w:rsidRPr="00686F5B">
                <w:rPr>
                  <w:rStyle w:val="Hyperlink"/>
                  <w:noProof/>
                </w:rPr>
                <w:t>Ettekirjutuste jõustamisega seotud kulud</w:t>
              </w:r>
            </w:hyperlink>
          </w:p>
          <w:p w14:paraId="2621A816" w14:textId="59D6476E" w:rsidR="008F07A5" w:rsidRDefault="00904537" w:rsidP="00A44E1E">
            <w:pPr>
              <w:pStyle w:val="TOC1"/>
              <w:tabs>
                <w:tab w:val="right" w:pos="10790"/>
              </w:tabs>
            </w:pPr>
            <w:r>
              <w:rPr>
                <w:b w:val="0"/>
                <w:bCs w:val="0"/>
              </w:rPr>
              <w:fldChar w:fldCharType="end"/>
            </w:r>
          </w:p>
        </w:tc>
      </w:tr>
      <w:tr w:rsidR="009D663B" w14:paraId="234D3D9E" w14:textId="77777777" w:rsidTr="00E84D5A">
        <w:tc>
          <w:tcPr>
            <w:tcW w:w="1048" w:type="dxa"/>
          </w:tcPr>
          <w:p w14:paraId="05C6E1B6" w14:textId="77F9EFF2" w:rsidR="009D663B" w:rsidRPr="00D60270" w:rsidRDefault="009D663B">
            <w:pPr>
              <w:rPr>
                <w:b/>
                <w:bCs/>
              </w:rPr>
            </w:pPr>
            <w:r w:rsidRPr="00D60270">
              <w:rPr>
                <w:b/>
                <w:bCs/>
              </w:rPr>
              <w:lastRenderedPageBreak/>
              <w:t>Millal</w:t>
            </w:r>
          </w:p>
        </w:tc>
        <w:tc>
          <w:tcPr>
            <w:tcW w:w="9860" w:type="dxa"/>
          </w:tcPr>
          <w:p w14:paraId="39CDB2B3" w14:textId="65816470" w:rsidR="009D663B" w:rsidRDefault="002E569C">
            <w:r w:rsidRPr="00D9330B">
              <w:t xml:space="preserve">Ootame kirjalikku tagasisidet </w:t>
            </w:r>
            <w:r w:rsidR="00110675" w:rsidRPr="00D9330B">
              <w:t xml:space="preserve">hiljemalt </w:t>
            </w:r>
            <w:r w:rsidR="00B15FAF">
              <w:rPr>
                <w:b/>
                <w:bCs/>
              </w:rPr>
              <w:t>08</w:t>
            </w:r>
            <w:r w:rsidR="00910C56" w:rsidRPr="00910C56">
              <w:rPr>
                <w:b/>
                <w:bCs/>
              </w:rPr>
              <w:t>.06.</w:t>
            </w:r>
            <w:r w:rsidR="006C643E" w:rsidRPr="00910C56">
              <w:rPr>
                <w:b/>
                <w:bCs/>
              </w:rPr>
              <w:t>202</w:t>
            </w:r>
            <w:r w:rsidR="00110675" w:rsidRPr="00910C56">
              <w:rPr>
                <w:b/>
                <w:bCs/>
              </w:rPr>
              <w:t>6</w:t>
            </w:r>
            <w:r w:rsidR="002A1193">
              <w:t>.</w:t>
            </w:r>
          </w:p>
        </w:tc>
      </w:tr>
      <w:tr w:rsidR="009D663B" w14:paraId="34C76AB4" w14:textId="77777777" w:rsidTr="00E84D5A">
        <w:tc>
          <w:tcPr>
            <w:tcW w:w="1048" w:type="dxa"/>
          </w:tcPr>
          <w:p w14:paraId="0D8AD552" w14:textId="37F11035" w:rsidR="009D663B" w:rsidRPr="00D60270" w:rsidRDefault="009D663B">
            <w:pPr>
              <w:rPr>
                <w:b/>
                <w:bCs/>
              </w:rPr>
            </w:pPr>
            <w:r w:rsidRPr="00D60270">
              <w:rPr>
                <w:b/>
                <w:bCs/>
              </w:rPr>
              <w:t>K</w:t>
            </w:r>
            <w:r w:rsidR="0031685F">
              <w:rPr>
                <w:b/>
                <w:bCs/>
              </w:rPr>
              <w:t>es</w:t>
            </w:r>
          </w:p>
        </w:tc>
        <w:tc>
          <w:tcPr>
            <w:tcW w:w="9860" w:type="dxa"/>
          </w:tcPr>
          <w:p w14:paraId="22265CEB" w14:textId="6C1A5279" w:rsidR="009D663B" w:rsidRDefault="0031685F">
            <w:r>
              <w:t>Justiits- ja Digiministeeriumi intellektuaal</w:t>
            </w:r>
            <w:r w:rsidR="00AD3523">
              <w:t xml:space="preserve">omandi ja konkurentsiõiguse talitus, </w:t>
            </w:r>
            <w:r w:rsidR="00EC7CBC">
              <w:t xml:space="preserve">kontaktisik </w:t>
            </w:r>
            <w:r w:rsidR="009D663B">
              <w:t xml:space="preserve">Alex Luik, </w:t>
            </w:r>
            <w:hyperlink r:id="rId11" w:history="1">
              <w:r w:rsidR="009D663B" w:rsidRPr="003E7F88">
                <w:rPr>
                  <w:rStyle w:val="Hyperlink"/>
                </w:rPr>
                <w:t>alex.luik@justdigi.ee</w:t>
              </w:r>
            </w:hyperlink>
            <w:r w:rsidR="009D663B">
              <w:t>, 5787 2843</w:t>
            </w:r>
            <w:r w:rsidR="00FA74E6">
              <w:t>.</w:t>
            </w:r>
          </w:p>
        </w:tc>
      </w:tr>
    </w:tbl>
    <w:p w14:paraId="56D1504B" w14:textId="27A7E919" w:rsidR="001B2A9B" w:rsidRDefault="00BD52A9" w:rsidP="004022FA">
      <w:pPr>
        <w:pStyle w:val="Pealkiri1"/>
      </w:pPr>
      <w:r>
        <w:t>Sisu</w:t>
      </w:r>
    </w:p>
    <w:p w14:paraId="44D15E40" w14:textId="6D80D021" w:rsidR="00420052" w:rsidRDefault="00420052" w:rsidP="00327E0E">
      <w:pPr>
        <w:pStyle w:val="Listtasand1"/>
      </w:pPr>
      <w:bookmarkStart w:id="0" w:name="_Toc229141285"/>
      <w:r>
        <w:t>Mõisted</w:t>
      </w:r>
      <w:bookmarkEnd w:id="0"/>
    </w:p>
    <w:p w14:paraId="5A0553EA" w14:textId="1F8EE201" w:rsidR="00420052" w:rsidRDefault="00AE598E" w:rsidP="00420052">
      <w:pPr>
        <w:pStyle w:val="Listtasand2"/>
      </w:pPr>
      <w:bookmarkStart w:id="1" w:name="_Toc229141286"/>
      <w:r>
        <w:t>Põhilised taustapaberis kasutatud mõisted</w:t>
      </w:r>
      <w:bookmarkEnd w:id="1"/>
    </w:p>
    <w:p w14:paraId="5F02C4C9" w14:textId="42DC23F0" w:rsidR="00D161D1" w:rsidRPr="00D161D1" w:rsidRDefault="00E323DB" w:rsidP="000708AF">
      <w:pPr>
        <w:pStyle w:val="Listtasand3"/>
      </w:pPr>
      <w:r w:rsidRPr="000708AF">
        <w:rPr>
          <w:b/>
          <w:bCs/>
        </w:rPr>
        <w:t>Blokeerimismeede</w:t>
      </w:r>
      <w:r>
        <w:t xml:space="preserve">. </w:t>
      </w:r>
      <w:r w:rsidR="00BA5456">
        <w:t>Meede</w:t>
      </w:r>
      <w:r w:rsidR="009A5F0A">
        <w:t xml:space="preserve"> </w:t>
      </w:r>
      <w:r w:rsidR="00916AA5">
        <w:t>(praeguse taustapaberi mõttes autoriõigusi</w:t>
      </w:r>
      <w:r w:rsidR="009E0D21">
        <w:t xml:space="preserve"> või kaasnevaid õigusi</w:t>
      </w:r>
      <w:r w:rsidR="00916AA5">
        <w:t xml:space="preserve"> rikkuva) </w:t>
      </w:r>
      <w:r w:rsidR="009A5F0A">
        <w:t>veebisisu blokeerimiseks</w:t>
      </w:r>
      <w:r w:rsidR="00916AA5">
        <w:t>.</w:t>
      </w:r>
      <w:r w:rsidR="009A5F0A">
        <w:t xml:space="preserve"> </w:t>
      </w:r>
      <w:r w:rsidR="009A5F0A" w:rsidRPr="009A5F0A">
        <w:t>Blokeerimism</w:t>
      </w:r>
      <w:r w:rsidR="00916AA5">
        <w:t>eetme</w:t>
      </w:r>
      <w:r w:rsidR="009A5F0A" w:rsidRPr="009A5F0A">
        <w:t xml:space="preserve"> eesmärk on sundida </w:t>
      </w:r>
      <w:r w:rsidR="007F5B83">
        <w:t>adressaati</w:t>
      </w:r>
      <w:r w:rsidR="009A5F0A" w:rsidRPr="009A5F0A">
        <w:t xml:space="preserve"> blokeerima juurdepääsu veebisaitidele, mis sisaldavad õigusi rikkuvat sisu</w:t>
      </w:r>
      <w:r w:rsidR="00916AA5">
        <w:t>.</w:t>
      </w:r>
      <w:r w:rsidR="00916AA5">
        <w:rPr>
          <w:rStyle w:val="FootnoteReference"/>
        </w:rPr>
        <w:footnoteReference w:id="3"/>
      </w:r>
      <w:r w:rsidR="00EB1E8A">
        <w:t xml:space="preserve"> Valdavalt kasutatakse </w:t>
      </w:r>
      <w:r w:rsidR="00D50DE9">
        <w:t xml:space="preserve">blokeerimismeetmetena staatilisi, dünaamilisi ja </w:t>
      </w:r>
      <w:proofErr w:type="spellStart"/>
      <w:r w:rsidR="00D50DE9">
        <w:t>live</w:t>
      </w:r>
      <w:proofErr w:type="spellEnd"/>
      <w:r w:rsidR="00D50DE9">
        <w:t>-ettekirjutusi.</w:t>
      </w:r>
      <w:r w:rsidR="00C01DD9">
        <w:t xml:space="preserve"> Kui blokeerimismeetmed (</w:t>
      </w:r>
      <w:proofErr w:type="spellStart"/>
      <w:r w:rsidR="00C01DD9" w:rsidRPr="000708AF">
        <w:rPr>
          <w:i/>
          <w:iCs/>
        </w:rPr>
        <w:t>blocking</w:t>
      </w:r>
      <w:proofErr w:type="spellEnd"/>
      <w:r w:rsidR="00C01DD9" w:rsidRPr="000708AF">
        <w:rPr>
          <w:i/>
          <w:iCs/>
        </w:rPr>
        <w:t xml:space="preserve"> </w:t>
      </w:r>
      <w:proofErr w:type="spellStart"/>
      <w:r w:rsidR="00C01DD9" w:rsidRPr="000708AF">
        <w:rPr>
          <w:i/>
          <w:iCs/>
        </w:rPr>
        <w:t>injunctions</w:t>
      </w:r>
      <w:proofErr w:type="spellEnd"/>
      <w:r w:rsidR="00C01DD9">
        <w:t>) on üldine mõiste</w:t>
      </w:r>
      <w:r w:rsidR="00BA1266">
        <w:t>, siis ettekirjutus</w:t>
      </w:r>
      <w:r w:rsidR="00E93468">
        <w:t xml:space="preserve"> </w:t>
      </w:r>
      <w:r w:rsidR="00BA1266">
        <w:t xml:space="preserve">on </w:t>
      </w:r>
      <w:r w:rsidR="002B16F1">
        <w:t>individuaalne</w:t>
      </w:r>
      <w:r w:rsidR="00BA1266">
        <w:t xml:space="preserve"> </w:t>
      </w:r>
      <w:r w:rsidR="006479E2">
        <w:t xml:space="preserve">ja </w:t>
      </w:r>
      <w:r w:rsidR="00F87C3B">
        <w:t xml:space="preserve">suunatud </w:t>
      </w:r>
      <w:r w:rsidR="002B16F1">
        <w:t xml:space="preserve">konkreetse </w:t>
      </w:r>
      <w:r w:rsidR="0001533B">
        <w:t>adressaadi vastu</w:t>
      </w:r>
      <w:r w:rsidR="0068319A">
        <w:t xml:space="preserve"> (NB! see ei pruugi olla haldusõiguse mõttes ettekirjutus, vaid spetsiifiline meede</w:t>
      </w:r>
      <w:r w:rsidR="00110E8E">
        <w:t xml:space="preserve"> veebisisu blokeerimiseks</w:t>
      </w:r>
      <w:r w:rsidR="0068319A">
        <w:t>, mis võib olemuselt olla ka tsiviilõiguslik</w:t>
      </w:r>
      <w:r w:rsidR="00C03557">
        <w:rPr>
          <w:rStyle w:val="FootnoteReference"/>
        </w:rPr>
        <w:footnoteReference w:id="4"/>
      </w:r>
      <w:r w:rsidR="0068319A">
        <w:t>)</w:t>
      </w:r>
      <w:r w:rsidR="0001533B">
        <w:t>.</w:t>
      </w:r>
      <w:r w:rsidR="00C01DD9">
        <w:t xml:space="preserve"> </w:t>
      </w:r>
      <w:r w:rsidR="008D30BE">
        <w:t>Terminoloogilises mõttes lähtutakse k</w:t>
      </w:r>
      <w:r w:rsidR="00916D27">
        <w:t xml:space="preserve">äesolevas taustapaberis </w:t>
      </w:r>
      <w:r w:rsidR="008D30BE" w:rsidRPr="008D30BE">
        <w:t>põhimõttest</w:t>
      </w:r>
      <w:r w:rsidR="008D30BE">
        <w:t xml:space="preserve">, et pädev asutus </w:t>
      </w:r>
      <w:r w:rsidR="008D30BE" w:rsidRPr="000708AF">
        <w:rPr>
          <w:i/>
          <w:iCs/>
        </w:rPr>
        <w:t>annab</w:t>
      </w:r>
      <w:r w:rsidR="00AE143B" w:rsidRPr="000708AF">
        <w:rPr>
          <w:i/>
          <w:iCs/>
        </w:rPr>
        <w:t xml:space="preserve"> (välja)</w:t>
      </w:r>
      <w:r w:rsidR="008D30BE">
        <w:t xml:space="preserve"> (</w:t>
      </w:r>
      <w:proofErr w:type="spellStart"/>
      <w:r w:rsidR="008D30BE" w:rsidRPr="000708AF">
        <w:rPr>
          <w:i/>
          <w:iCs/>
        </w:rPr>
        <w:t>issue</w:t>
      </w:r>
      <w:proofErr w:type="spellEnd"/>
      <w:r w:rsidR="00C50594">
        <w:rPr>
          <w:rStyle w:val="FootnoteReference"/>
          <w:i/>
          <w:iCs/>
        </w:rPr>
        <w:footnoteReference w:id="5"/>
      </w:r>
      <w:r w:rsidR="008D30BE">
        <w:t>) ettekirjutusi.</w:t>
      </w:r>
    </w:p>
    <w:p w14:paraId="0BDF38C5" w14:textId="00058E2C" w:rsidR="00AE598E" w:rsidRDefault="00AE598E" w:rsidP="00AE598E">
      <w:pPr>
        <w:pStyle w:val="Listtasand3"/>
      </w:pPr>
      <w:r w:rsidRPr="00B06BD7">
        <w:rPr>
          <w:b/>
          <w:bCs/>
        </w:rPr>
        <w:t xml:space="preserve">Staatiline </w:t>
      </w:r>
      <w:r w:rsidR="001009D6">
        <w:rPr>
          <w:b/>
          <w:bCs/>
        </w:rPr>
        <w:t>ettekirjutus</w:t>
      </w:r>
      <w:r w:rsidR="00B06BD7" w:rsidRPr="00B06BD7">
        <w:t>.</w:t>
      </w:r>
      <w:r w:rsidR="00B06BD7">
        <w:t xml:space="preserve"> </w:t>
      </w:r>
      <w:r w:rsidR="007F5B83">
        <w:t>Ettekirjutuse adressaat</w:t>
      </w:r>
      <w:r w:rsidR="001009D6" w:rsidRPr="001009D6">
        <w:t xml:space="preserve"> saa</w:t>
      </w:r>
      <w:r w:rsidR="007F5B83">
        <w:t>b</w:t>
      </w:r>
      <w:r w:rsidR="001009D6" w:rsidRPr="001009D6">
        <w:t xml:space="preserve"> blokeerida ainult </w:t>
      </w:r>
      <w:r w:rsidR="00106481">
        <w:t xml:space="preserve">neid </w:t>
      </w:r>
      <w:r w:rsidR="001009D6" w:rsidRPr="001009D6">
        <w:t>DNS-aadresse, IP-aadresse või URL-aadresse</w:t>
      </w:r>
      <w:r w:rsidR="00106481">
        <w:t xml:space="preserve">, mis on </w:t>
      </w:r>
      <w:r w:rsidR="00106481" w:rsidRPr="00106481">
        <w:t>ettekirjutuses ammendavalt loet</w:t>
      </w:r>
      <w:r w:rsidR="00106481">
        <w:t>letud</w:t>
      </w:r>
      <w:r w:rsidR="005D7A09">
        <w:t>.</w:t>
      </w:r>
      <w:r w:rsidR="001009D6" w:rsidRPr="001009D6">
        <w:t xml:space="preserve"> </w:t>
      </w:r>
      <w:r w:rsidR="005D7A09">
        <w:t>L</w:t>
      </w:r>
      <w:r w:rsidR="0078712D">
        <w:t>oetelu</w:t>
      </w:r>
      <w:r w:rsidR="001009D6" w:rsidRPr="001009D6">
        <w:t xml:space="preserve"> uuendamine või täiendamine eeldab uue </w:t>
      </w:r>
      <w:r w:rsidR="0078712D">
        <w:t>ettekirjutuse</w:t>
      </w:r>
      <w:r w:rsidR="001009D6" w:rsidRPr="001009D6">
        <w:t xml:space="preserve"> </w:t>
      </w:r>
      <w:r w:rsidR="00106481">
        <w:t>andmist</w:t>
      </w:r>
      <w:r w:rsidR="009D2EC4">
        <w:t>.</w:t>
      </w:r>
      <w:r w:rsidR="00837F6F">
        <w:rPr>
          <w:rStyle w:val="FootnoteReference"/>
        </w:rPr>
        <w:footnoteReference w:id="6"/>
      </w:r>
    </w:p>
    <w:p w14:paraId="7ED79783" w14:textId="258E7F2A" w:rsidR="00AE598E" w:rsidRDefault="00AE598E" w:rsidP="00AE598E">
      <w:pPr>
        <w:pStyle w:val="Listtasand3"/>
      </w:pPr>
      <w:r w:rsidRPr="009D2EC4">
        <w:rPr>
          <w:b/>
          <w:bCs/>
        </w:rPr>
        <w:t xml:space="preserve">Dünaamiline </w:t>
      </w:r>
      <w:r w:rsidR="009D2EC4" w:rsidRPr="009D2EC4">
        <w:rPr>
          <w:b/>
          <w:bCs/>
        </w:rPr>
        <w:t>ettekirjutus</w:t>
      </w:r>
      <w:r w:rsidR="009D2EC4">
        <w:t xml:space="preserve">. </w:t>
      </w:r>
      <w:r w:rsidR="00FB1F9B">
        <w:t>V</w:t>
      </w:r>
      <w:r w:rsidR="00FB1F9B" w:rsidRPr="00FB1F9B">
        <w:t xml:space="preserve">õimaldab </w:t>
      </w:r>
      <w:r w:rsidR="00D02552" w:rsidRPr="00FB1F9B">
        <w:t>ajakohastada</w:t>
      </w:r>
      <w:r w:rsidR="00D02552">
        <w:t xml:space="preserve"> </w:t>
      </w:r>
      <w:r w:rsidR="00DE3BB4">
        <w:t>blokeerimisele kuuluvat IP-</w:t>
      </w:r>
      <w:r w:rsidR="00DE3BB4" w:rsidRPr="00FB1F9B">
        <w:t>aadresside</w:t>
      </w:r>
      <w:r w:rsidR="00DE3BB4">
        <w:t xml:space="preserve">, </w:t>
      </w:r>
      <w:r w:rsidR="00DE3BB4" w:rsidRPr="00FB1F9B">
        <w:t>domeeni</w:t>
      </w:r>
      <w:r w:rsidR="00DE3BB4">
        <w:t>nimede</w:t>
      </w:r>
      <w:r w:rsidR="00DE3BB4" w:rsidRPr="00FB1F9B">
        <w:t xml:space="preserve"> </w:t>
      </w:r>
      <w:r w:rsidR="00DE3BB4">
        <w:t>või URL-ide loetelu</w:t>
      </w:r>
      <w:r w:rsidR="00DE3BB4" w:rsidRPr="00FB1F9B">
        <w:t xml:space="preserve"> </w:t>
      </w:r>
      <w:r w:rsidR="005D7A09" w:rsidRPr="00FB1F9B">
        <w:t xml:space="preserve">uut </w:t>
      </w:r>
      <w:r w:rsidR="005D7A09">
        <w:t>ettekirjutust välja andmata</w:t>
      </w:r>
      <w:r w:rsidR="005D7A09" w:rsidRPr="00FB1F9B">
        <w:t xml:space="preserve"> </w:t>
      </w:r>
      <w:r w:rsidR="009564C3">
        <w:t>(</w:t>
      </w:r>
      <w:r w:rsidR="00FB1F9B" w:rsidRPr="00FB1F9B">
        <w:t>õiguste oma</w:t>
      </w:r>
      <w:r w:rsidR="00FB1F9B">
        <w:t>jate</w:t>
      </w:r>
      <w:r w:rsidR="009564C3">
        <w:t xml:space="preserve"> taotlusel</w:t>
      </w:r>
      <w:r w:rsidR="00FB1F9B">
        <w:t xml:space="preserve"> </w:t>
      </w:r>
      <w:r w:rsidR="00A07FEE">
        <w:t xml:space="preserve">või </w:t>
      </w:r>
      <w:proofErr w:type="spellStart"/>
      <w:r w:rsidR="00A07FEE" w:rsidRPr="00A07FEE">
        <w:rPr>
          <w:i/>
          <w:iCs/>
        </w:rPr>
        <w:t>ex</w:t>
      </w:r>
      <w:proofErr w:type="spellEnd"/>
      <w:r w:rsidR="00A07FEE" w:rsidRPr="00A07FEE">
        <w:rPr>
          <w:i/>
          <w:iCs/>
        </w:rPr>
        <w:t xml:space="preserve"> </w:t>
      </w:r>
      <w:proofErr w:type="spellStart"/>
      <w:r w:rsidR="00A07FEE" w:rsidRPr="00A07FEE">
        <w:rPr>
          <w:i/>
          <w:iCs/>
        </w:rPr>
        <w:t>officio</w:t>
      </w:r>
      <w:proofErr w:type="spellEnd"/>
      <w:r w:rsidR="00A07FEE">
        <w:t>)</w:t>
      </w:r>
      <w:r w:rsidR="00DE3BB4">
        <w:t>. Näiteks</w:t>
      </w:r>
      <w:r w:rsidR="00FB1F9B" w:rsidRPr="00FB1F9B">
        <w:t xml:space="preserve"> </w:t>
      </w:r>
      <w:r w:rsidR="00BE71EE">
        <w:t xml:space="preserve">võidakse </w:t>
      </w:r>
      <w:r w:rsidR="00CD5A7E">
        <w:t xml:space="preserve">veebilehti blokeerida </w:t>
      </w:r>
      <w:r w:rsidR="00FB1F9B" w:rsidRPr="00FB1F9B">
        <w:t xml:space="preserve">vastavalt uute </w:t>
      </w:r>
      <w:proofErr w:type="spellStart"/>
      <w:r w:rsidR="008B4169" w:rsidRPr="008B4169">
        <w:rPr>
          <w:i/>
          <w:iCs/>
        </w:rPr>
        <w:t>mirror</w:t>
      </w:r>
      <w:proofErr w:type="spellEnd"/>
      <w:r w:rsidR="00D502B2">
        <w:t xml:space="preserve"> või</w:t>
      </w:r>
      <w:r w:rsidR="008B4169">
        <w:t xml:space="preserve"> </w:t>
      </w:r>
      <w:proofErr w:type="spellStart"/>
      <w:r w:rsidR="008B4169" w:rsidRPr="008B4169">
        <w:rPr>
          <w:i/>
          <w:iCs/>
        </w:rPr>
        <w:t>proxy</w:t>
      </w:r>
      <w:proofErr w:type="spellEnd"/>
      <w:r w:rsidR="008B4169">
        <w:t xml:space="preserve"> veebisaitide </w:t>
      </w:r>
      <w:r w:rsidR="00FB1F9B" w:rsidRPr="00FB1F9B">
        <w:t>tekkimisele</w:t>
      </w:r>
      <w:r w:rsidR="00D502B2">
        <w:t xml:space="preserve">, </w:t>
      </w:r>
      <w:r w:rsidR="006944DB">
        <w:t>kui viimaste</w:t>
      </w:r>
      <w:r w:rsidR="00FB07B0">
        <w:t xml:space="preserve"> kaudu </w:t>
      </w:r>
      <w:r w:rsidR="000906AA">
        <w:t>tehakse uuesti</w:t>
      </w:r>
      <w:r w:rsidR="00FB07B0">
        <w:t xml:space="preserve"> kättesaadav</w:t>
      </w:r>
      <w:r w:rsidR="000906AA">
        <w:t>aks</w:t>
      </w:r>
      <w:r w:rsidR="00FB07B0">
        <w:t xml:space="preserve"> </w:t>
      </w:r>
      <w:r w:rsidR="000906AA">
        <w:t>juba blokeerimisele kuuluv</w:t>
      </w:r>
      <w:r w:rsidR="006944DB">
        <w:t>at</w:t>
      </w:r>
      <w:r w:rsidR="00D502B2">
        <w:t xml:space="preserve"> sisu</w:t>
      </w:r>
      <w:r w:rsidR="008B4169">
        <w:t>.</w:t>
      </w:r>
      <w:r w:rsidR="008B4169">
        <w:rPr>
          <w:rStyle w:val="FootnoteReference"/>
        </w:rPr>
        <w:footnoteReference w:id="7"/>
      </w:r>
    </w:p>
    <w:p w14:paraId="4FB8EECE" w14:textId="28B611BB" w:rsidR="00AE598E" w:rsidRDefault="00AE598E" w:rsidP="00AE598E">
      <w:pPr>
        <w:pStyle w:val="Listtasand3"/>
      </w:pPr>
      <w:r w:rsidRPr="009409DD">
        <w:rPr>
          <w:b/>
          <w:bCs/>
        </w:rPr>
        <w:t>Live-</w:t>
      </w:r>
      <w:r w:rsidR="009409DD">
        <w:rPr>
          <w:b/>
          <w:bCs/>
        </w:rPr>
        <w:t>ettekirjutus</w:t>
      </w:r>
      <w:r w:rsidR="009564C3">
        <w:t xml:space="preserve">. </w:t>
      </w:r>
      <w:r w:rsidR="007F5B83">
        <w:t>Adressaat peab</w:t>
      </w:r>
      <w:r w:rsidR="009409DD">
        <w:t xml:space="preserve"> reaalajas blokeerima </w:t>
      </w:r>
      <w:r w:rsidR="002D5F2B">
        <w:t>veebilehtede</w:t>
      </w:r>
      <w:r w:rsidR="00BA5456">
        <w:t xml:space="preserve"> kaudu</w:t>
      </w:r>
      <w:r w:rsidR="002D5F2B">
        <w:t xml:space="preserve"> </w:t>
      </w:r>
      <w:r w:rsidR="00D74C58">
        <w:t xml:space="preserve">sisu </w:t>
      </w:r>
      <w:r w:rsidR="009409DD">
        <w:t>voogedast</w:t>
      </w:r>
      <w:r w:rsidR="00D74C58">
        <w:t>amist</w:t>
      </w:r>
      <w:r w:rsidR="009409DD" w:rsidRPr="009409DD">
        <w:t xml:space="preserve">, </w:t>
      </w:r>
      <w:r w:rsidR="002D5F2B">
        <w:t xml:space="preserve">tihti </w:t>
      </w:r>
      <w:r w:rsidR="00D74C58">
        <w:t xml:space="preserve">kehtib ettekirjutus </w:t>
      </w:r>
      <w:r w:rsidR="002D5F2B">
        <w:t>ajutiselt</w:t>
      </w:r>
      <w:r w:rsidR="00D74C58">
        <w:t xml:space="preserve"> ja</w:t>
      </w:r>
      <w:r w:rsidR="002D5F2B">
        <w:t xml:space="preserve"> </w:t>
      </w:r>
      <w:r w:rsidR="00D74C58">
        <w:t xml:space="preserve">puudutab </w:t>
      </w:r>
      <w:r w:rsidR="002D5F2B">
        <w:t>otseülekandeid, nt spordiüritusi.</w:t>
      </w:r>
      <w:r w:rsidR="00D74C58">
        <w:rPr>
          <w:rStyle w:val="FootnoteReference"/>
        </w:rPr>
        <w:footnoteReference w:id="8"/>
      </w:r>
    </w:p>
    <w:p w14:paraId="7055BF4E" w14:textId="6F5F2507" w:rsidR="004945B8" w:rsidRDefault="004945B8" w:rsidP="00D869BF">
      <w:pPr>
        <w:pStyle w:val="Listtasand3"/>
      </w:pPr>
      <w:r>
        <w:rPr>
          <w:b/>
          <w:bCs/>
        </w:rPr>
        <w:t>Vahendaja</w:t>
      </w:r>
      <w:r w:rsidRPr="004945B8">
        <w:t>.</w:t>
      </w:r>
      <w:r>
        <w:t xml:space="preserve"> </w:t>
      </w:r>
      <w:proofErr w:type="spellStart"/>
      <w:r w:rsidR="000B337F">
        <w:t>InfoSoc</w:t>
      </w:r>
      <w:proofErr w:type="spellEnd"/>
      <w:r w:rsidR="000B337F">
        <w:t xml:space="preserve"> direktiivi artikli 8 lg 3 tähenduses </w:t>
      </w:r>
      <w:r w:rsidR="00854817">
        <w:t xml:space="preserve">mis tahes </w:t>
      </w:r>
      <w:r w:rsidR="000B337F">
        <w:t xml:space="preserve">isik, </w:t>
      </w:r>
      <w:r w:rsidR="000B337F" w:rsidRPr="000B337F">
        <w:t xml:space="preserve">kes pakub </w:t>
      </w:r>
      <w:r w:rsidR="00854817">
        <w:t xml:space="preserve">teenust, mille käigus </w:t>
      </w:r>
      <w:r w:rsidR="007A726E">
        <w:t xml:space="preserve">on </w:t>
      </w:r>
      <w:r w:rsidR="0020075D" w:rsidRPr="000B337F">
        <w:t xml:space="preserve">internetiühendust </w:t>
      </w:r>
      <w:r w:rsidR="000B337F" w:rsidRPr="000B337F">
        <w:t>kasutavatel isikutel</w:t>
      </w:r>
      <w:r w:rsidR="007A726E">
        <w:t xml:space="preserve"> võimalik </w:t>
      </w:r>
      <w:r w:rsidR="00E04579">
        <w:t xml:space="preserve">kasutada </w:t>
      </w:r>
      <w:r w:rsidR="00A37350">
        <w:t xml:space="preserve">õigustega kaitstud sisu </w:t>
      </w:r>
      <w:r w:rsidR="00E04579">
        <w:t>õiguste omajate nõusolekuta</w:t>
      </w:r>
      <w:r w:rsidR="00FA5787">
        <w:t>.</w:t>
      </w:r>
      <w:r w:rsidR="0020075D">
        <w:rPr>
          <w:rStyle w:val="FootnoteReference"/>
        </w:rPr>
        <w:footnoteReference w:id="9"/>
      </w:r>
      <w:r w:rsidR="0020075D">
        <w:t xml:space="preserve"> </w:t>
      </w:r>
      <w:r w:rsidR="00EF7289">
        <w:t xml:space="preserve">Senise Euroopa Kohtu praktika kohaselt on vahendajateks </w:t>
      </w:r>
      <w:r w:rsidR="00EF7289">
        <w:lastRenderedPageBreak/>
        <w:t xml:space="preserve">peetud </w:t>
      </w:r>
      <w:r w:rsidR="000D4D69">
        <w:t>internetiteenuse pakkujat</w:t>
      </w:r>
      <w:r w:rsidR="00F43A7B">
        <w:t xml:space="preserve"> (ISP, </w:t>
      </w:r>
      <w:r w:rsidR="00F43A7B" w:rsidRPr="00F43A7B">
        <w:rPr>
          <w:i/>
          <w:iCs/>
        </w:rPr>
        <w:t xml:space="preserve">Internet Service </w:t>
      </w:r>
      <w:proofErr w:type="spellStart"/>
      <w:r w:rsidR="00F43A7B" w:rsidRPr="00F43A7B">
        <w:rPr>
          <w:i/>
          <w:iCs/>
        </w:rPr>
        <w:t>Provider</w:t>
      </w:r>
      <w:proofErr w:type="spellEnd"/>
      <w:r w:rsidR="00F43A7B">
        <w:t>)</w:t>
      </w:r>
      <w:r w:rsidR="00FF49B8">
        <w:rPr>
          <w:rStyle w:val="FootnoteReference"/>
        </w:rPr>
        <w:footnoteReference w:id="10"/>
      </w:r>
      <w:r w:rsidR="00FF49B8">
        <w:t>,</w:t>
      </w:r>
      <w:r w:rsidR="00D800AD">
        <w:t xml:space="preserve"> </w:t>
      </w:r>
      <w:proofErr w:type="spellStart"/>
      <w:r w:rsidR="00A57233" w:rsidRPr="00A57233">
        <w:t>e-turu</w:t>
      </w:r>
      <w:proofErr w:type="spellEnd"/>
      <w:r w:rsidR="00A57233" w:rsidRPr="00A57233">
        <w:t xml:space="preserve"> pakkuja</w:t>
      </w:r>
      <w:r w:rsidR="00FA5787">
        <w:t>t</w:t>
      </w:r>
      <w:r w:rsidR="00A57233">
        <w:rPr>
          <w:rStyle w:val="FootnoteReference"/>
        </w:rPr>
        <w:footnoteReference w:id="11"/>
      </w:r>
      <w:r w:rsidR="00FA5787">
        <w:t xml:space="preserve"> ja</w:t>
      </w:r>
      <w:r w:rsidR="00A57233" w:rsidRPr="00A57233">
        <w:t xml:space="preserve"> </w:t>
      </w:r>
      <w:r w:rsidR="00EC3BD4" w:rsidRPr="00EC3BD4">
        <w:t>interneti suhtlusportaal</w:t>
      </w:r>
      <w:r w:rsidR="00EC3BD4">
        <w:t>i</w:t>
      </w:r>
      <w:r w:rsidR="00EC3BD4">
        <w:rPr>
          <w:rStyle w:val="FootnoteReference"/>
        </w:rPr>
        <w:footnoteReference w:id="12"/>
      </w:r>
      <w:r w:rsidR="00FA5787">
        <w:t xml:space="preserve">. </w:t>
      </w:r>
    </w:p>
    <w:p w14:paraId="3C0A366A" w14:textId="63E71930" w:rsidR="003B1564" w:rsidRDefault="003B1564" w:rsidP="00D869BF">
      <w:pPr>
        <w:pStyle w:val="Listtasand3"/>
      </w:pPr>
      <w:r>
        <w:rPr>
          <w:b/>
          <w:bCs/>
        </w:rPr>
        <w:t>DNS</w:t>
      </w:r>
      <w:r>
        <w:t>-</w:t>
      </w:r>
      <w:r w:rsidRPr="003B1564">
        <w:rPr>
          <w:b/>
          <w:bCs/>
        </w:rPr>
        <w:t>blokeerimine</w:t>
      </w:r>
      <w:r>
        <w:t xml:space="preserve">. DNS </w:t>
      </w:r>
      <w:r w:rsidR="008B751B">
        <w:t xml:space="preserve">on nagu telefoniraamat, mille abil tõlgitakse </w:t>
      </w:r>
      <w:r w:rsidR="00FE07F6" w:rsidRPr="00FE07F6">
        <w:t>domeeninimed</w:t>
      </w:r>
      <w:r w:rsidR="00FE07F6">
        <w:t xml:space="preserve"> (nt </w:t>
      </w:r>
      <w:r w:rsidR="006A030C" w:rsidRPr="006A030C">
        <w:t>https://www.google.com/</w:t>
      </w:r>
      <w:r w:rsidR="00FE07F6">
        <w:t>)</w:t>
      </w:r>
      <w:r w:rsidR="00FE07F6" w:rsidRPr="00FE07F6">
        <w:t xml:space="preserve"> IP-aadressideks</w:t>
      </w:r>
      <w:r w:rsidR="006A030C">
        <w:t xml:space="preserve"> (</w:t>
      </w:r>
      <w:r w:rsidR="00EF2AD1">
        <w:t xml:space="preserve">nt </w:t>
      </w:r>
      <w:r w:rsidR="00EF2AD1" w:rsidRPr="00EF2AD1">
        <w:t>142.250.72.14</w:t>
      </w:r>
      <w:r w:rsidR="006A030C">
        <w:t>)</w:t>
      </w:r>
      <w:r w:rsidR="00FE07F6" w:rsidRPr="00FE07F6">
        <w:t xml:space="preserve">, et seade saaks internetist </w:t>
      </w:r>
      <w:r w:rsidR="00FC65B1">
        <w:t xml:space="preserve">sobiva asukoha </w:t>
      </w:r>
      <w:r w:rsidR="00FE07F6" w:rsidRPr="00FE07F6">
        <w:t>üles leida</w:t>
      </w:r>
      <w:r w:rsidR="00EF2AD1">
        <w:t xml:space="preserve">. DNS-blokeerimise korral teeb </w:t>
      </w:r>
      <w:r w:rsidR="00593254">
        <w:t xml:space="preserve">näiteks </w:t>
      </w:r>
      <w:r w:rsidR="00EF2AD1">
        <w:t xml:space="preserve">ISP </w:t>
      </w:r>
      <w:r w:rsidR="00EF2AD1" w:rsidRPr="00EF2AD1">
        <w:t xml:space="preserve">oma DNS-serverites selliseid konfiguratsioonimuudatusi, et ei anna </w:t>
      </w:r>
      <w:r w:rsidR="003350FE">
        <w:t>kasutaja</w:t>
      </w:r>
      <w:r w:rsidR="00FC65B1">
        <w:t xml:space="preserve"> päringule vastuseks</w:t>
      </w:r>
      <w:r w:rsidR="003350FE">
        <w:t xml:space="preserve"> </w:t>
      </w:r>
      <w:r w:rsidR="00FC65B1">
        <w:t>se</w:t>
      </w:r>
      <w:r w:rsidR="00F673F2">
        <w:t>lliste veebisaitide</w:t>
      </w:r>
      <w:r w:rsidR="00FC65B1">
        <w:t xml:space="preserve"> </w:t>
      </w:r>
      <w:r w:rsidR="00EF2AD1" w:rsidRPr="00EF2AD1">
        <w:t>IP-aadress</w:t>
      </w:r>
      <w:r w:rsidR="00F673F2">
        <w:t>e</w:t>
      </w:r>
      <w:r w:rsidR="00FC65B1">
        <w:t>,</w:t>
      </w:r>
      <w:r w:rsidR="00F673F2">
        <w:t xml:space="preserve"> mille</w:t>
      </w:r>
      <w:r w:rsidR="00FC65B1">
        <w:t xml:space="preserve"> </w:t>
      </w:r>
      <w:r w:rsidR="00FC65B1" w:rsidRPr="00FC65B1">
        <w:t>domeeni</w:t>
      </w:r>
      <w:r w:rsidR="00F673F2">
        <w:t>nimed on blokeeritud</w:t>
      </w:r>
      <w:r w:rsidR="00EF2AD1" w:rsidRPr="00EF2AD1">
        <w:t xml:space="preserve">. DNS-blokeerimine on </w:t>
      </w:r>
      <w:r w:rsidR="00F673F2">
        <w:t xml:space="preserve">seega </w:t>
      </w:r>
      <w:r w:rsidR="00EF2AD1" w:rsidRPr="00EF2AD1">
        <w:t>võrreldav telefoniraamatus</w:t>
      </w:r>
      <w:r w:rsidR="003350FE">
        <w:t>t</w:t>
      </w:r>
      <w:r w:rsidR="00EF2AD1" w:rsidRPr="00EF2AD1">
        <w:t xml:space="preserve"> kande eemaldamisega</w:t>
      </w:r>
      <w:r w:rsidR="003350FE">
        <w:t>. Kuigi</w:t>
      </w:r>
      <w:r w:rsidR="00EF2AD1" w:rsidRPr="00EF2AD1">
        <w:t xml:space="preserve"> </w:t>
      </w:r>
      <w:r w:rsidR="003350FE">
        <w:t>domeeninimi</w:t>
      </w:r>
      <w:r w:rsidR="00EF2AD1" w:rsidRPr="00EF2AD1">
        <w:t xml:space="preserve"> toimib endiselt, </w:t>
      </w:r>
      <w:r w:rsidR="0007037A">
        <w:t>tehakse</w:t>
      </w:r>
      <w:r w:rsidR="003350FE">
        <w:t xml:space="preserve"> </w:t>
      </w:r>
      <w:r w:rsidR="00EF2AD1" w:rsidRPr="00EF2AD1">
        <w:t>kasutajatel</w:t>
      </w:r>
      <w:r w:rsidR="0007037A">
        <w:t>e</w:t>
      </w:r>
      <w:r w:rsidR="00EF2AD1" w:rsidRPr="00EF2AD1">
        <w:t xml:space="preserve"> õige </w:t>
      </w:r>
      <w:r w:rsidR="003350FE">
        <w:t>„</w:t>
      </w:r>
      <w:r w:rsidR="00EF2AD1" w:rsidRPr="00EF2AD1">
        <w:t>numbri</w:t>
      </w:r>
      <w:r w:rsidR="003350FE">
        <w:t>“</w:t>
      </w:r>
      <w:r w:rsidR="0007037A">
        <w:t xml:space="preserve"> üles</w:t>
      </w:r>
      <w:r w:rsidR="00EF2AD1" w:rsidRPr="00EF2AD1">
        <w:t xml:space="preserve"> leid</w:t>
      </w:r>
      <w:r w:rsidR="0007037A">
        <w:t>mine raskemaks</w:t>
      </w:r>
      <w:r w:rsidR="00EF2AD1" w:rsidRPr="00EF2AD1">
        <w:t xml:space="preserve">. </w:t>
      </w:r>
      <w:r w:rsidR="008A28E8">
        <w:t xml:space="preserve">Üldiselt pakub ISP </w:t>
      </w:r>
      <w:r w:rsidR="0007037A">
        <w:t xml:space="preserve">vaikimisi </w:t>
      </w:r>
      <w:r w:rsidR="008A28E8">
        <w:t>ise kasutajale DNS</w:t>
      </w:r>
      <w:r w:rsidR="00F855E9">
        <w:t xml:space="preserve">-teenust. Küll aga on kasutajal võimalik </w:t>
      </w:r>
      <w:r w:rsidR="00EF2AD1" w:rsidRPr="00EF2AD1">
        <w:t xml:space="preserve">DNS-blokeerimist vältida, </w:t>
      </w:r>
      <w:r w:rsidR="003214FA">
        <w:t xml:space="preserve">kui </w:t>
      </w:r>
      <w:r w:rsidR="00F855E9">
        <w:t>ta</w:t>
      </w:r>
      <w:r w:rsidR="003214FA">
        <w:t xml:space="preserve"> </w:t>
      </w:r>
      <w:r w:rsidR="00F855E9">
        <w:t xml:space="preserve">muudab oma seadmes DNS-serveri pakkujat, nii et uus </w:t>
      </w:r>
      <w:r w:rsidR="003214FA">
        <w:t>pakkuja</w:t>
      </w:r>
      <w:r w:rsidR="00F855E9">
        <w:t xml:space="preserve"> </w:t>
      </w:r>
      <w:r w:rsidR="00EF2AD1" w:rsidRPr="00EF2AD1">
        <w:t xml:space="preserve">ei ole </w:t>
      </w:r>
      <w:r w:rsidR="003214FA">
        <w:t xml:space="preserve">ettekirjutuse </w:t>
      </w:r>
      <w:r w:rsidR="00F855E9">
        <w:t>adressaadiks</w:t>
      </w:r>
      <w:r w:rsidR="00EF2AD1" w:rsidRPr="00EF2AD1">
        <w:t>.</w:t>
      </w:r>
      <w:r w:rsidR="00F855E9">
        <w:rPr>
          <w:rStyle w:val="FootnoteReference"/>
        </w:rPr>
        <w:footnoteReference w:id="13"/>
      </w:r>
      <w:r w:rsidR="00EF2AD1" w:rsidRPr="00EF2AD1">
        <w:t xml:space="preserve"> </w:t>
      </w:r>
    </w:p>
    <w:p w14:paraId="2B6FD8AD" w14:textId="7E0BF3D9" w:rsidR="00804590" w:rsidRDefault="00F855E9" w:rsidP="00804590">
      <w:pPr>
        <w:pStyle w:val="Listtasand3"/>
      </w:pPr>
      <w:r w:rsidRPr="00804590">
        <w:rPr>
          <w:b/>
          <w:bCs/>
        </w:rPr>
        <w:t>IP</w:t>
      </w:r>
      <w:r w:rsidRPr="00F855E9">
        <w:t>-</w:t>
      </w:r>
      <w:r w:rsidRPr="00804590">
        <w:rPr>
          <w:b/>
          <w:bCs/>
        </w:rPr>
        <w:t>blokeerimine</w:t>
      </w:r>
      <w:r>
        <w:t xml:space="preserve">. </w:t>
      </w:r>
      <w:r w:rsidR="00804590">
        <w:t xml:space="preserve">IP-aadress on nagu </w:t>
      </w:r>
      <w:r w:rsidR="00BA7773">
        <w:t xml:space="preserve">seadmele </w:t>
      </w:r>
      <w:r w:rsidR="002426E3">
        <w:t>antud</w:t>
      </w:r>
      <w:r w:rsidR="00BA7773">
        <w:t xml:space="preserve"> </w:t>
      </w:r>
      <w:r w:rsidR="00804590">
        <w:t>telefoninumber</w:t>
      </w:r>
      <w:r w:rsidR="002426E3">
        <w:t xml:space="preserve">, mis </w:t>
      </w:r>
      <w:r w:rsidR="00804590">
        <w:t>määra</w:t>
      </w:r>
      <w:r w:rsidR="00BF7438">
        <w:t>b</w:t>
      </w:r>
      <w:r w:rsidR="00804590">
        <w:t xml:space="preserve">, kust andmed pärinevad ja kuhu need tuleb edastada. </w:t>
      </w:r>
      <w:r w:rsidR="00BF7438">
        <w:t>IP-blokeerimise korral seadistab ISP</w:t>
      </w:r>
      <w:r w:rsidR="00804590">
        <w:t xml:space="preserve"> võrguseadmeid nii, et kasutajad ei saaks saata ega vastu võtta andmeid blokeeritud veebisaitide IP-aadressidele. </w:t>
      </w:r>
      <w:r w:rsidR="00A72E39" w:rsidRPr="00A72E39">
        <w:t>IP</w:t>
      </w:r>
      <w:r w:rsidR="00A72E39">
        <w:t xml:space="preserve">-aadress </w:t>
      </w:r>
      <w:r w:rsidR="001021F6">
        <w:t xml:space="preserve">ja domeeninimi ei pruugi olla üksühele </w:t>
      </w:r>
      <w:r w:rsidR="003F34AD">
        <w:t>kattuvad</w:t>
      </w:r>
      <w:r w:rsidR="00691BB3">
        <w:t>,</w:t>
      </w:r>
      <w:r w:rsidR="00F605F1">
        <w:t xml:space="preserve"> </w:t>
      </w:r>
      <w:r w:rsidR="003F34AD">
        <w:t>kuna üks</w:t>
      </w:r>
      <w:r w:rsidR="00F605F1">
        <w:t xml:space="preserve"> IP-aadress võib majutada tuhandeid </w:t>
      </w:r>
      <w:r w:rsidR="002426E3">
        <w:t>domeeninimesid</w:t>
      </w:r>
      <w:r w:rsidR="00897B65">
        <w:t xml:space="preserve"> (</w:t>
      </w:r>
      <w:proofErr w:type="spellStart"/>
      <w:r w:rsidR="00897B65" w:rsidRPr="00897B65">
        <w:rPr>
          <w:i/>
          <w:iCs/>
        </w:rPr>
        <w:t>Shared</w:t>
      </w:r>
      <w:proofErr w:type="spellEnd"/>
      <w:r w:rsidR="00897B65" w:rsidRPr="00897B65">
        <w:rPr>
          <w:i/>
          <w:iCs/>
        </w:rPr>
        <w:t xml:space="preserve"> </w:t>
      </w:r>
      <w:proofErr w:type="spellStart"/>
      <w:r w:rsidR="00897B65" w:rsidRPr="00897B65">
        <w:rPr>
          <w:i/>
          <w:iCs/>
        </w:rPr>
        <w:t>Hosting</w:t>
      </w:r>
      <w:proofErr w:type="spellEnd"/>
      <w:r w:rsidR="00897B65">
        <w:t>)</w:t>
      </w:r>
      <w:r w:rsidR="00A72E39" w:rsidRPr="00A72E39">
        <w:t xml:space="preserve">. </w:t>
      </w:r>
      <w:r w:rsidR="002F58EB">
        <w:t xml:space="preserve">Kui </w:t>
      </w:r>
      <w:r w:rsidR="00A72E39" w:rsidRPr="00A72E39">
        <w:t xml:space="preserve">veebisait </w:t>
      </w:r>
      <w:r w:rsidR="008A2863">
        <w:t>on</w:t>
      </w:r>
      <w:r w:rsidR="00A72E39" w:rsidRPr="00A72E39">
        <w:t xml:space="preserve"> kättesaadav mitmel IP-aadressil korraga, </w:t>
      </w:r>
      <w:r w:rsidR="00E02041">
        <w:t xml:space="preserve">oleks </w:t>
      </w:r>
      <w:r w:rsidR="00E17003">
        <w:t xml:space="preserve">sisu blokeerimiseks vajalik </w:t>
      </w:r>
      <w:r w:rsidR="00A72E39" w:rsidRPr="00A72E39">
        <w:t xml:space="preserve">mitme IP-aadressi </w:t>
      </w:r>
      <w:r w:rsidR="008A2863">
        <w:t>üheaeg</w:t>
      </w:r>
      <w:r w:rsidR="00E02041">
        <w:t>ne</w:t>
      </w:r>
      <w:r w:rsidR="008A2863">
        <w:t xml:space="preserve"> </w:t>
      </w:r>
      <w:r w:rsidR="00A72E39" w:rsidRPr="00A72E39">
        <w:t>blokeerimi</w:t>
      </w:r>
      <w:r w:rsidR="00E02041">
        <w:t>ne</w:t>
      </w:r>
      <w:r w:rsidR="004E247D">
        <w:t>.</w:t>
      </w:r>
      <w:r w:rsidR="00A72E39">
        <w:rPr>
          <w:rStyle w:val="FootnoteReference"/>
        </w:rPr>
        <w:footnoteReference w:id="14"/>
      </w:r>
    </w:p>
    <w:p w14:paraId="6092E675" w14:textId="314A3151" w:rsidR="00F855E9" w:rsidRDefault="00DE7A1B" w:rsidP="00DE7A1B">
      <w:pPr>
        <w:pStyle w:val="Listtasand3"/>
      </w:pPr>
      <w:r w:rsidRPr="003A2DA4">
        <w:rPr>
          <w:b/>
          <w:bCs/>
        </w:rPr>
        <w:t>URL-blokeerimine</w:t>
      </w:r>
      <w:r>
        <w:t>. URL (</w:t>
      </w:r>
      <w:proofErr w:type="spellStart"/>
      <w:r w:rsidRPr="003A2DA4">
        <w:rPr>
          <w:i/>
          <w:iCs/>
        </w:rPr>
        <w:t>Uniform</w:t>
      </w:r>
      <w:proofErr w:type="spellEnd"/>
      <w:r w:rsidRPr="003A2DA4">
        <w:rPr>
          <w:i/>
          <w:iCs/>
        </w:rPr>
        <w:t xml:space="preserve"> </w:t>
      </w:r>
      <w:proofErr w:type="spellStart"/>
      <w:r w:rsidRPr="003A2DA4">
        <w:rPr>
          <w:i/>
          <w:iCs/>
        </w:rPr>
        <w:t>Resource</w:t>
      </w:r>
      <w:proofErr w:type="spellEnd"/>
      <w:r w:rsidRPr="003A2DA4">
        <w:rPr>
          <w:i/>
          <w:iCs/>
        </w:rPr>
        <w:t xml:space="preserve"> </w:t>
      </w:r>
      <w:proofErr w:type="spellStart"/>
      <w:r w:rsidRPr="003A2DA4">
        <w:rPr>
          <w:i/>
          <w:iCs/>
        </w:rPr>
        <w:t>Locator</w:t>
      </w:r>
      <w:proofErr w:type="spellEnd"/>
      <w:r>
        <w:t>) näitab veebisaidi ja selle alamdomeenide täpset asukohta</w:t>
      </w:r>
      <w:r w:rsidR="00B7635B">
        <w:t xml:space="preserve"> ja omavahelist struktuuri</w:t>
      </w:r>
      <w:r>
        <w:t xml:space="preserve">. </w:t>
      </w:r>
      <w:r w:rsidR="00B7635B">
        <w:t>K</w:t>
      </w:r>
      <w:r>
        <w:t xml:space="preserve">asutaja </w:t>
      </w:r>
      <w:r w:rsidR="00692A36">
        <w:t xml:space="preserve">päringu alusel </w:t>
      </w:r>
      <w:r w:rsidR="00B7635B">
        <w:t xml:space="preserve">suunatakse </w:t>
      </w:r>
      <w:r w:rsidR="00692A36">
        <w:t xml:space="preserve">ta </w:t>
      </w:r>
      <w:r>
        <w:t xml:space="preserve">internetis konkreetse </w:t>
      </w:r>
      <w:r w:rsidR="00B7635B">
        <w:t xml:space="preserve">URL-iga seotud </w:t>
      </w:r>
      <w:r>
        <w:t>sisu juurde</w:t>
      </w:r>
      <w:r w:rsidR="00B7635B">
        <w:t xml:space="preserve">. </w:t>
      </w:r>
      <w:r>
        <w:t>URL-</w:t>
      </w:r>
      <w:r w:rsidR="003A2DA4">
        <w:t>blokeerimisel</w:t>
      </w:r>
      <w:r>
        <w:t xml:space="preserve"> </w:t>
      </w:r>
      <w:r w:rsidR="003A2DA4">
        <w:t>peab ISP kontrollima</w:t>
      </w:r>
      <w:r>
        <w:t xml:space="preserve"> oma võrkude kaudu edastatavate IP-pakettide päiseid ja sisu (st lähte- ja siht-IP-aadresse). See kontroll võib toimuda kahel tasandil</w:t>
      </w:r>
      <w:r w:rsidR="003A2DA4">
        <w:t xml:space="preserve">. Pinnapealse </w:t>
      </w:r>
      <w:r>
        <w:t>pakettide kontroll</w:t>
      </w:r>
      <w:r w:rsidR="003A2DA4">
        <w:t>i puhul (</w:t>
      </w:r>
      <w:r w:rsidR="00044F56">
        <w:t xml:space="preserve">SPI, </w:t>
      </w:r>
      <w:proofErr w:type="spellStart"/>
      <w:r w:rsidR="00A01821" w:rsidRPr="00A01821">
        <w:rPr>
          <w:i/>
          <w:iCs/>
        </w:rPr>
        <w:t>shallow</w:t>
      </w:r>
      <w:proofErr w:type="spellEnd"/>
      <w:r w:rsidR="00A01821" w:rsidRPr="00A01821">
        <w:rPr>
          <w:i/>
          <w:iCs/>
        </w:rPr>
        <w:t xml:space="preserve"> </w:t>
      </w:r>
      <w:proofErr w:type="spellStart"/>
      <w:r w:rsidR="00A01821" w:rsidRPr="00A01821">
        <w:rPr>
          <w:i/>
          <w:iCs/>
        </w:rPr>
        <w:t>packet</w:t>
      </w:r>
      <w:proofErr w:type="spellEnd"/>
      <w:r w:rsidR="00A01821" w:rsidRPr="00A01821">
        <w:rPr>
          <w:i/>
          <w:iCs/>
        </w:rPr>
        <w:t xml:space="preserve"> </w:t>
      </w:r>
      <w:proofErr w:type="spellStart"/>
      <w:r w:rsidR="00A01821" w:rsidRPr="00A01821">
        <w:rPr>
          <w:i/>
          <w:iCs/>
        </w:rPr>
        <w:t>inspection</w:t>
      </w:r>
      <w:proofErr w:type="spellEnd"/>
      <w:r w:rsidR="003A2DA4">
        <w:t>)</w:t>
      </w:r>
      <w:r w:rsidR="00A01821">
        <w:t xml:space="preserve"> </w:t>
      </w:r>
      <w:r>
        <w:t xml:space="preserve">vaatab </w:t>
      </w:r>
      <w:r w:rsidR="00A01821">
        <w:t xml:space="preserve">ISP </w:t>
      </w:r>
      <w:r>
        <w:t>läbi põhilised tehnilised üksikasjad, nagu IP-aadressid, pordid ja protokollid</w:t>
      </w:r>
      <w:r w:rsidR="00A01821">
        <w:t>. S</w:t>
      </w:r>
      <w:r>
        <w:t>ügav pakettide kontroll (DPI</w:t>
      </w:r>
      <w:r w:rsidR="00A01821">
        <w:t xml:space="preserve">, </w:t>
      </w:r>
      <w:proofErr w:type="spellStart"/>
      <w:r w:rsidR="00A01821" w:rsidRPr="00A01821">
        <w:rPr>
          <w:i/>
          <w:iCs/>
        </w:rPr>
        <w:t>deep</w:t>
      </w:r>
      <w:proofErr w:type="spellEnd"/>
      <w:r w:rsidR="00A01821" w:rsidRPr="00A01821">
        <w:rPr>
          <w:i/>
          <w:iCs/>
        </w:rPr>
        <w:t xml:space="preserve"> </w:t>
      </w:r>
      <w:proofErr w:type="spellStart"/>
      <w:r w:rsidR="00A01821" w:rsidRPr="00A01821">
        <w:rPr>
          <w:i/>
          <w:iCs/>
        </w:rPr>
        <w:t>packet</w:t>
      </w:r>
      <w:proofErr w:type="spellEnd"/>
      <w:r w:rsidR="00A01821" w:rsidRPr="00A01821">
        <w:rPr>
          <w:i/>
          <w:iCs/>
        </w:rPr>
        <w:t xml:space="preserve"> </w:t>
      </w:r>
      <w:proofErr w:type="spellStart"/>
      <w:r w:rsidR="00A01821" w:rsidRPr="00A01821">
        <w:rPr>
          <w:i/>
          <w:iCs/>
        </w:rPr>
        <w:t>inspection</w:t>
      </w:r>
      <w:proofErr w:type="spellEnd"/>
      <w:r w:rsidR="00A01821">
        <w:t xml:space="preserve">) </w:t>
      </w:r>
      <w:r>
        <w:t xml:space="preserve">analüüsib pakettide sisu kindlate andmemustrite või märksõnade leidmiseks. Kui DPI tuvastab paketi, mis vastab </w:t>
      </w:r>
      <w:r w:rsidR="002771C4">
        <w:t>etteantud</w:t>
      </w:r>
      <w:r>
        <w:t xml:space="preserve"> kriteeriumidele</w:t>
      </w:r>
      <w:r w:rsidR="00A55665">
        <w:t xml:space="preserve"> (</w:t>
      </w:r>
      <w:r>
        <w:t>keelatud URL või märksõna</w:t>
      </w:r>
      <w:r w:rsidR="00A55665">
        <w:t>),</w:t>
      </w:r>
      <w:r>
        <w:t xml:space="preserve"> katkestab </w:t>
      </w:r>
      <w:r w:rsidR="00A55665">
        <w:t>ISP</w:t>
      </w:r>
      <w:r>
        <w:t xml:space="preserve"> </w:t>
      </w:r>
      <w:r w:rsidR="00A55665">
        <w:t xml:space="preserve">kasutaja </w:t>
      </w:r>
      <w:r>
        <w:t>ühenduse.</w:t>
      </w:r>
      <w:r w:rsidR="00A55665">
        <w:rPr>
          <w:rStyle w:val="FootnoteReference"/>
        </w:rPr>
        <w:footnoteReference w:id="15"/>
      </w:r>
      <w:r w:rsidR="004B602E">
        <w:t xml:space="preserve"> DPI-d on võrreldud automaatse </w:t>
      </w:r>
      <w:r w:rsidR="009176DF">
        <w:t xml:space="preserve">postkontori </w:t>
      </w:r>
      <w:r w:rsidR="004B602E">
        <w:t xml:space="preserve">süsteemiga, kus </w:t>
      </w:r>
      <w:r w:rsidR="00BF6772">
        <w:t>kõiki sissetulevaid kirju</w:t>
      </w:r>
      <w:r w:rsidR="001758C8">
        <w:t xml:space="preserve"> </w:t>
      </w:r>
      <w:r w:rsidR="002771C4">
        <w:t>jälgitakse</w:t>
      </w:r>
      <w:r w:rsidR="00BF6772">
        <w:t xml:space="preserve">, </w:t>
      </w:r>
      <w:r w:rsidR="009176DF">
        <w:t>neid avatakse ja muudetakse</w:t>
      </w:r>
      <w:r w:rsidR="00BF6772">
        <w:t xml:space="preserve"> sisu</w:t>
      </w:r>
      <w:r w:rsidR="009930D8">
        <w:t xml:space="preserve">, </w:t>
      </w:r>
      <w:r w:rsidR="006F7C1D">
        <w:t>hiljem kleebi</w:t>
      </w:r>
      <w:r w:rsidR="009176DF">
        <w:t>takse</w:t>
      </w:r>
      <w:r w:rsidR="006F7C1D">
        <w:t xml:space="preserve"> ümbriku</w:t>
      </w:r>
      <w:r w:rsidR="00E5162F">
        <w:t>d</w:t>
      </w:r>
      <w:r w:rsidR="006F7C1D">
        <w:t xml:space="preserve"> uuesti kinni ja saad</w:t>
      </w:r>
      <w:r w:rsidR="009176DF">
        <w:t>etakse</w:t>
      </w:r>
      <w:r w:rsidR="006F7C1D">
        <w:t xml:space="preserve"> välja.</w:t>
      </w:r>
      <w:r w:rsidR="006F7C1D">
        <w:rPr>
          <w:rStyle w:val="FootnoteReference"/>
        </w:rPr>
        <w:footnoteReference w:id="16"/>
      </w:r>
    </w:p>
    <w:p w14:paraId="552CF105" w14:textId="1EB14BC4" w:rsidR="00C74C32" w:rsidRDefault="00DD0F28" w:rsidP="00327E0E">
      <w:pPr>
        <w:pStyle w:val="Listtasand1"/>
      </w:pPr>
      <w:bookmarkStart w:id="2" w:name="_Toc229141287"/>
      <w:r>
        <w:t>Blokeerimismeetme</w:t>
      </w:r>
      <w:r w:rsidR="001D5F8C">
        <w:t xml:space="preserve">d </w:t>
      </w:r>
      <w:r w:rsidR="00884DAC">
        <w:t>kehtivas õiguses (EL ja Eesti)</w:t>
      </w:r>
      <w:bookmarkEnd w:id="2"/>
    </w:p>
    <w:p w14:paraId="5D378053" w14:textId="500B2FFB" w:rsidR="005C3EBF" w:rsidRDefault="00DA45FE" w:rsidP="005E54B6">
      <w:pPr>
        <w:pStyle w:val="Listtasand2"/>
      </w:pPr>
      <w:bookmarkStart w:id="3" w:name="_Ref204171565"/>
      <w:bookmarkStart w:id="4" w:name="_Toc229141288"/>
      <w:r>
        <w:t>Blokeerimismeetmed EL õiguses</w:t>
      </w:r>
      <w:bookmarkEnd w:id="3"/>
      <w:bookmarkEnd w:id="4"/>
    </w:p>
    <w:p w14:paraId="5363638B" w14:textId="3DD7AF07" w:rsidR="00B36DAB" w:rsidRDefault="00166624" w:rsidP="00B62805">
      <w:pPr>
        <w:pStyle w:val="Listtasand3"/>
      </w:pPr>
      <w:r>
        <w:t>EL õigus</w:t>
      </w:r>
      <w:r w:rsidR="00AD3D38">
        <w:t>e</w:t>
      </w:r>
      <w:r w:rsidR="00E01D22">
        <w:t xml:space="preserve"> üleselt on</w:t>
      </w:r>
      <w:r w:rsidR="00AD3D38">
        <w:t xml:space="preserve"> </w:t>
      </w:r>
      <w:r w:rsidR="00E01D22">
        <w:t xml:space="preserve">veebisisu </w:t>
      </w:r>
      <w:r w:rsidR="00BC6BAA">
        <w:t xml:space="preserve">blokeerimise </w:t>
      </w:r>
      <w:r w:rsidR="00CF7F81">
        <w:t>alus</w:t>
      </w:r>
      <w:r w:rsidR="00B36DAB">
        <w:t>ed</w:t>
      </w:r>
      <w:r w:rsidR="00CF7F81">
        <w:t xml:space="preserve"> </w:t>
      </w:r>
      <w:proofErr w:type="spellStart"/>
      <w:r w:rsidR="003752BF">
        <w:t>InfoSoc</w:t>
      </w:r>
      <w:proofErr w:type="spellEnd"/>
      <w:r w:rsidR="003752BF">
        <w:t xml:space="preserve"> direktiivi</w:t>
      </w:r>
      <w:r w:rsidR="00BC6BAA">
        <w:t>s</w:t>
      </w:r>
      <w:r w:rsidR="003752BF">
        <w:rPr>
          <w:rStyle w:val="FootnoteReference"/>
        </w:rPr>
        <w:footnoteReference w:id="17"/>
      </w:r>
      <w:r w:rsidR="003752BF">
        <w:t xml:space="preserve"> </w:t>
      </w:r>
      <w:r w:rsidR="00B36DAB">
        <w:t>(kitsamalt autoriõigus</w:t>
      </w:r>
      <w:r w:rsidR="006B56F8">
        <w:t>e kontekstis</w:t>
      </w:r>
      <w:r w:rsidR="00B36DAB">
        <w:t xml:space="preserve">) </w:t>
      </w:r>
      <w:r w:rsidR="00BC6BAA">
        <w:t>ja jõustamisdirektiivis</w:t>
      </w:r>
      <w:r w:rsidR="00BC6BAA">
        <w:rPr>
          <w:rStyle w:val="FootnoteReference"/>
        </w:rPr>
        <w:footnoteReference w:id="18"/>
      </w:r>
      <w:r w:rsidR="00B36DAB">
        <w:t xml:space="preserve"> (laiemalt intellektuaalomandi õigus</w:t>
      </w:r>
      <w:r w:rsidR="006B56F8">
        <w:t>e kontekstis</w:t>
      </w:r>
      <w:r w:rsidR="00B36DAB">
        <w:t>)</w:t>
      </w:r>
      <w:r w:rsidR="00BC6BAA">
        <w:t xml:space="preserve">. </w:t>
      </w:r>
    </w:p>
    <w:p w14:paraId="399F759A" w14:textId="77777777" w:rsidR="00DC38E1" w:rsidRDefault="00BC6BAA" w:rsidP="00B62805">
      <w:pPr>
        <w:pStyle w:val="Listtasand3"/>
      </w:pPr>
      <w:proofErr w:type="spellStart"/>
      <w:r>
        <w:t>InfoSoc</w:t>
      </w:r>
      <w:proofErr w:type="spellEnd"/>
      <w:r w:rsidR="00B21A79">
        <w:t xml:space="preserve"> direktiivi</w:t>
      </w:r>
      <w:r>
        <w:t xml:space="preserve"> </w:t>
      </w:r>
      <w:r w:rsidR="009A4004">
        <w:t>art</w:t>
      </w:r>
      <w:r w:rsidR="003752BF">
        <w:t xml:space="preserve"> 8 </w:t>
      </w:r>
      <w:r w:rsidR="009A4004">
        <w:t xml:space="preserve">lg </w:t>
      </w:r>
      <w:r w:rsidR="00DE5C8E">
        <w:t xml:space="preserve">3 sätestab, </w:t>
      </w:r>
      <w:r w:rsidR="00DE5C8E" w:rsidRPr="00DE5C8E">
        <w:t>et õiguste valdajatel on võimalik taotleda kohtu ettekirjutust vahendajatele, kelle teenuseid kolmandad isikud kasutavad autoriõiguse või sellega kaasneva õiguse rikkumiseks</w:t>
      </w:r>
      <w:r w:rsidR="00DC38E1">
        <w:t>.</w:t>
      </w:r>
      <w:r w:rsidR="00DC38E1" w:rsidRPr="00DC38E1">
        <w:t xml:space="preserve"> </w:t>
      </w:r>
      <w:r w:rsidR="00DC38E1">
        <w:t xml:space="preserve">Täiendavalt, jõustamisdirektiivi art 11 kohaselt </w:t>
      </w:r>
      <w:r w:rsidR="00DC38E1" w:rsidRPr="006B2BFA">
        <w:t xml:space="preserve">tagavad liikmesriigid, et </w:t>
      </w:r>
      <w:r w:rsidR="00DC38E1" w:rsidRPr="006B2BFA">
        <w:lastRenderedPageBreak/>
        <w:t xml:space="preserve">õiguste </w:t>
      </w:r>
      <w:r w:rsidR="00DC38E1">
        <w:t>omajad</w:t>
      </w:r>
      <w:r w:rsidR="00DC38E1" w:rsidRPr="006B2BFA">
        <w:t xml:space="preserve"> võivad nõuda kohtulikke tõkendeid vahendajate suhtes, kelle teenuseid kasutas kolmas osapool intellektuaalomandi õiguste rikkumisel</w:t>
      </w:r>
      <w:r w:rsidR="00DC38E1">
        <w:t xml:space="preserve">. </w:t>
      </w:r>
    </w:p>
    <w:p w14:paraId="4A4BDB48" w14:textId="77777777" w:rsidR="00F9512D" w:rsidRDefault="00DC38E1" w:rsidP="00B62805">
      <w:pPr>
        <w:pStyle w:val="Listtasand3"/>
      </w:pPr>
      <w:r>
        <w:t>Jõustamisdirektiivi art 3 lg 1 ette laiemalt intellektuaalomandi õiguste jõustamise kontekstis, et m</w:t>
      </w:r>
      <w:r w:rsidRPr="00AB5D54">
        <w:t xml:space="preserve">enetlused, protseduurid ja õiguskaitsevahendid </w:t>
      </w:r>
      <w:r>
        <w:t>on „</w:t>
      </w:r>
      <w:r w:rsidRPr="00AB5D54">
        <w:t>õiglased ega ole asjatult keerulised või kulukad ega sisalda põhjendamatuid ajalisi piiranguid ega põhjendamatuid viivitusi</w:t>
      </w:r>
      <w:r>
        <w:t>“. Sama artikli lg 2 täpsustab, et m</w:t>
      </w:r>
      <w:r w:rsidRPr="003A3D46">
        <w:t xml:space="preserve">eetmed, menetlused ja õiguskaitsevahendid on </w:t>
      </w:r>
      <w:r>
        <w:t>„</w:t>
      </w:r>
      <w:r w:rsidRPr="003A3D46">
        <w:t>tõhusad, proportsionaalsed ja hoiatavad</w:t>
      </w:r>
      <w:r>
        <w:t>“. Seega annab jõustamisdirektiivi artikkel 3 printsiibid intellektuaalomandi jõustamise tagamiseks laiemas tähenduses, mis kehtivad ka vahendajatele ettekirjutuste andmisel</w:t>
      </w:r>
      <w:r w:rsidR="00DE5C8E">
        <w:t>.</w:t>
      </w:r>
    </w:p>
    <w:p w14:paraId="2F3715A0" w14:textId="5FA1E941" w:rsidR="00F9512D" w:rsidRDefault="00F9512D" w:rsidP="00F9512D">
      <w:pPr>
        <w:pStyle w:val="Listtasand3"/>
      </w:pPr>
      <w:r>
        <w:t xml:space="preserve">Proportsionaalsus on üks olulisi põhimõtteid veebisisu blokeerimisel, mida on Euroopa Kohus rõhutanud </w:t>
      </w:r>
      <w:r w:rsidRPr="00AD1151">
        <w:rPr>
          <w:i/>
          <w:iCs/>
        </w:rPr>
        <w:t>UPC Telekabel</w:t>
      </w:r>
      <w:r>
        <w:t xml:space="preserve"> kohtuasjas. Kuna veebisisu blokeerimisega kaitstakse autoriõigust (ELPH</w:t>
      </w:r>
      <w:r w:rsidRPr="0058771B">
        <w:t xml:space="preserve"> ar</w:t>
      </w:r>
      <w:r>
        <w:t>t</w:t>
      </w:r>
      <w:r w:rsidRPr="0058771B">
        <w:t xml:space="preserve"> 17 lõi</w:t>
      </w:r>
      <w:r>
        <w:t>g</w:t>
      </w:r>
      <w:r w:rsidRPr="0058771B">
        <w:t>e 2</w:t>
      </w:r>
      <w:r>
        <w:t xml:space="preserve">) ja sellega võivad vastanduda </w:t>
      </w:r>
      <w:r w:rsidRPr="0058771B">
        <w:t>ettevõtlusvabadus</w:t>
      </w:r>
      <w:r>
        <w:t xml:space="preserve"> (ELPH</w:t>
      </w:r>
      <w:r w:rsidRPr="0058771B">
        <w:t xml:space="preserve"> art 16</w:t>
      </w:r>
      <w:r>
        <w:t>)</w:t>
      </w:r>
      <w:r w:rsidRPr="0058771B">
        <w:t xml:space="preserve"> </w:t>
      </w:r>
      <w:r>
        <w:t>ja</w:t>
      </w:r>
      <w:r w:rsidRPr="0058771B">
        <w:t xml:space="preserve"> internetikasutajate teabevabadus</w:t>
      </w:r>
      <w:r>
        <w:t xml:space="preserve"> (ELPH </w:t>
      </w:r>
      <w:r w:rsidRPr="0058771B">
        <w:t>art 11</w:t>
      </w:r>
      <w:r>
        <w:t>), tuleb nende konkureerivate põhiõiguste vahel saavutada õiglane tasakaal.</w:t>
      </w:r>
      <w:r w:rsidRPr="00F9512D">
        <w:t xml:space="preserve"> </w:t>
      </w:r>
      <w:r>
        <w:t>Blokeerimismeetmed laias laastus mõjutavad nelja osapoolt, kellest igaühel võivad olla omad erahuvid ja kelle huve tuleks kaaluda: õiguste omaja, vahendaja, kasutaja ja veebilehe haldaja.</w:t>
      </w:r>
      <w:r w:rsidR="00A43748">
        <w:rPr>
          <w:rStyle w:val="FootnoteReference"/>
        </w:rPr>
        <w:footnoteReference w:id="19"/>
      </w:r>
      <w:r w:rsidR="00415B0C" w:rsidRPr="00415B0C">
        <w:t xml:space="preserve"> </w:t>
      </w:r>
      <w:r w:rsidR="00415B0C">
        <w:t>Proportsionaalsuse juur</w:t>
      </w:r>
      <w:r w:rsidR="00961B6F">
        <w:t>es</w:t>
      </w:r>
      <w:r w:rsidR="00415B0C">
        <w:t xml:space="preserve"> on arvatud, et kuluka URL-blokeerimise lahenduse sisseseadmise kohustus võib osutuda vahendaja jaoks ebaproportsionaalseks.</w:t>
      </w:r>
      <w:r w:rsidR="00415B0C">
        <w:rPr>
          <w:rStyle w:val="FootnoteReference"/>
        </w:rPr>
        <w:footnoteReference w:id="20"/>
      </w:r>
      <w:r w:rsidR="00415B0C">
        <w:t xml:space="preserve"> DPI võib ebaproportsionaalselt riivata ka internetikasutajaid, kuivõrd selle meetodiga jälgitakse internetikasutajate edastatud andmepakettide sisu, mis tekitab küsimusi eraelu puutumatuse aspektides.</w:t>
      </w:r>
      <w:r w:rsidR="00415B0C">
        <w:rPr>
          <w:rStyle w:val="FootnoteReference"/>
        </w:rPr>
        <w:footnoteReference w:id="21"/>
      </w:r>
    </w:p>
    <w:p w14:paraId="1CD1BE3C" w14:textId="3B1114EA" w:rsidR="0042717D" w:rsidRDefault="00F9512D" w:rsidP="004649F3">
      <w:pPr>
        <w:pStyle w:val="Listtasand3"/>
      </w:pPr>
      <w:r>
        <w:t>Tõhusa</w:t>
      </w:r>
      <w:r w:rsidR="002367DB">
        <w:t xml:space="preserve">te </w:t>
      </w:r>
      <w:r w:rsidR="00A430A4">
        <w:t>õiguskaitsevahendite</w:t>
      </w:r>
      <w:r w:rsidR="004649F3">
        <w:t xml:space="preserve"> kontekstis on oluline märkida,</w:t>
      </w:r>
      <w:r w:rsidR="0042717D">
        <w:t xml:space="preserve"> et b</w:t>
      </w:r>
      <w:r w:rsidR="0042717D" w:rsidRPr="00CF7101">
        <w:t>lokeerimismeetmete rakendamine ei pruugi eemaldada rikkuvat sisu ega teha selle kättesaamist võimatuks</w:t>
      </w:r>
      <w:r w:rsidR="0042717D">
        <w:t xml:space="preserve">. </w:t>
      </w:r>
      <w:r w:rsidR="004649F3">
        <w:t xml:space="preserve">DNS-blokeerimise korral tehakse konkreetsed domeeninimed DNS-pakkuja aadressiraamatust ligipääsmatuks, kuid domeeninimed ise jäävad alles. Senikaua kui ettekirjutus kehtib ja kasutaja seadmes pakub DNS-teenust ettekirjutuse adressaat (vaikimisi pakub DNS-teenust ISP), ei saa kasutaja blokeeritud veebilehele ligi. Kui aga kasutaja konfigureerib oma seadme ümber ja valib kolmanda osapoole DNS-teenuse pakkuja (nt </w:t>
      </w:r>
      <w:proofErr w:type="spellStart"/>
      <w:r w:rsidR="004649F3">
        <w:t>Cloudflare</w:t>
      </w:r>
      <w:proofErr w:type="spellEnd"/>
      <w:r w:rsidR="004649F3">
        <w:t xml:space="preserve">, </w:t>
      </w:r>
      <w:proofErr w:type="spellStart"/>
      <w:r w:rsidR="004649F3">
        <w:t>NextDNS</w:t>
      </w:r>
      <w:proofErr w:type="spellEnd"/>
      <w:r w:rsidR="004649F3">
        <w:t xml:space="preserve">, Google </w:t>
      </w:r>
      <w:proofErr w:type="spellStart"/>
      <w:r w:rsidR="004649F3">
        <w:t>Public</w:t>
      </w:r>
      <w:proofErr w:type="spellEnd"/>
      <w:r w:rsidR="004649F3">
        <w:t xml:space="preserve"> DNS), mis ei ole ettekirjutuse adressaadiks, saab kasutaja ettekirjutusest mööda hiilida.</w:t>
      </w:r>
      <w:r w:rsidR="00102C6F" w:rsidRPr="00102C6F">
        <w:t xml:space="preserve"> </w:t>
      </w:r>
      <w:r w:rsidR="00102C6F" w:rsidRPr="00DE7704">
        <w:t xml:space="preserve">IP-blokeeringutest </w:t>
      </w:r>
      <w:r w:rsidR="00102C6F">
        <w:t xml:space="preserve">saab kasutaja </w:t>
      </w:r>
      <w:r w:rsidR="00102C6F" w:rsidRPr="00DE7704">
        <w:t>mööda hiilida</w:t>
      </w:r>
      <w:r w:rsidR="00102C6F">
        <w:t>, kui ta ühendab seadme internetiga</w:t>
      </w:r>
      <w:r w:rsidR="00102C6F" w:rsidRPr="00DE7704">
        <w:t xml:space="preserve"> virtuaalse eravõr</w:t>
      </w:r>
      <w:r w:rsidR="00102C6F">
        <w:t>gu kaudu</w:t>
      </w:r>
      <w:r w:rsidR="00102C6F" w:rsidRPr="00DE7704">
        <w:t xml:space="preserve"> (VPN), </w:t>
      </w:r>
      <w:r w:rsidR="00102C6F">
        <w:t>luues internetiühenduse</w:t>
      </w:r>
      <w:r w:rsidR="00102C6F" w:rsidRPr="00DE7704">
        <w:t xml:space="preserve"> teise </w:t>
      </w:r>
      <w:r w:rsidR="00102C6F">
        <w:t>ISP</w:t>
      </w:r>
      <w:r w:rsidR="00102C6F" w:rsidRPr="00DE7704">
        <w:t xml:space="preserve"> kaudu, keda blokeerimiskorraldus ei mõjuta</w:t>
      </w:r>
      <w:r w:rsidR="00102C6F">
        <w:t>.</w:t>
      </w:r>
      <w:r w:rsidR="00102C6F">
        <w:rPr>
          <w:rStyle w:val="FootnoteReference"/>
        </w:rPr>
        <w:footnoteReference w:id="22"/>
      </w:r>
      <w:r w:rsidR="003D1362">
        <w:t xml:space="preserve"> </w:t>
      </w:r>
      <w:r w:rsidR="004649F3">
        <w:t xml:space="preserve">Euroopa Kohus </w:t>
      </w:r>
      <w:r w:rsidR="00315F0A">
        <w:t>on samuti nentinud</w:t>
      </w:r>
      <w:r w:rsidR="004649F3">
        <w:t>, et ühtegi tehnikat intellektuaalomandi õiguste rikkumise täieliku lõpu tegemiseks ei pruugi olla või on sellised tehnika</w:t>
      </w:r>
      <w:r w:rsidR="00A33D09">
        <w:t>d</w:t>
      </w:r>
      <w:r w:rsidR="004649F3">
        <w:t xml:space="preserve"> praktikas teostamatud.</w:t>
      </w:r>
      <w:r w:rsidR="004649F3">
        <w:rPr>
          <w:rStyle w:val="FootnoteReference"/>
        </w:rPr>
        <w:footnoteReference w:id="23"/>
      </w:r>
      <w:r w:rsidR="004649F3">
        <w:t xml:space="preserve"> </w:t>
      </w:r>
      <w:r w:rsidR="00201A8C">
        <w:t>M</w:t>
      </w:r>
      <w:r w:rsidR="004649F3">
        <w:t>eetmed</w:t>
      </w:r>
      <w:r w:rsidR="004649F3" w:rsidRPr="007722D9">
        <w:t xml:space="preserve"> </w:t>
      </w:r>
      <w:r w:rsidR="00201A8C">
        <w:t xml:space="preserve">on piisavad, kui need </w:t>
      </w:r>
      <w:r w:rsidR="004649F3" w:rsidRPr="007722D9">
        <w:t>takista</w:t>
      </w:r>
      <w:r w:rsidR="004649F3">
        <w:t>vad</w:t>
      </w:r>
      <w:r w:rsidR="004649F3" w:rsidRPr="007722D9">
        <w:t xml:space="preserve"> kaitstavate objektide kasutamis</w:t>
      </w:r>
      <w:r w:rsidR="004649F3">
        <w:t>t</w:t>
      </w:r>
      <w:r w:rsidR="004649F3" w:rsidRPr="007722D9">
        <w:t xml:space="preserve"> või vähemalt muu</w:t>
      </w:r>
      <w:r w:rsidR="004649F3">
        <w:t>davad</w:t>
      </w:r>
      <w:r w:rsidR="004649F3" w:rsidRPr="007722D9">
        <w:t xml:space="preserve"> </w:t>
      </w:r>
      <w:r w:rsidR="004649F3">
        <w:t xml:space="preserve">selle </w:t>
      </w:r>
      <w:r w:rsidR="004649F3" w:rsidRPr="007722D9">
        <w:t xml:space="preserve">keeruliselt teostatavaks ja </w:t>
      </w:r>
      <w:r w:rsidR="004649F3">
        <w:t xml:space="preserve">on </w:t>
      </w:r>
      <w:r w:rsidR="004649F3" w:rsidRPr="007722D9">
        <w:t>internetikasutaja</w:t>
      </w:r>
      <w:r w:rsidR="004649F3">
        <w:t xml:space="preserve">tele </w:t>
      </w:r>
      <w:r w:rsidR="004649F3" w:rsidRPr="00960CD7">
        <w:t>tõsiselt heidutava</w:t>
      </w:r>
      <w:r w:rsidR="004649F3">
        <w:t xml:space="preserve"> mõjuga.</w:t>
      </w:r>
      <w:r w:rsidR="004649F3">
        <w:rPr>
          <w:rStyle w:val="FootnoteReference"/>
        </w:rPr>
        <w:footnoteReference w:id="24"/>
      </w:r>
      <w:r w:rsidR="004649F3">
        <w:t xml:space="preserve"> Eelnevast tuleneb, et ka IP- ja/või DNS-blokeerimisega oleks võimalik </w:t>
      </w:r>
      <w:r w:rsidR="00306944">
        <w:t xml:space="preserve">luua </w:t>
      </w:r>
      <w:r w:rsidR="004649F3">
        <w:t xml:space="preserve">piisavalt tõhus süsteem, </w:t>
      </w:r>
      <w:r w:rsidR="00EB4A9A">
        <w:t xml:space="preserve">mis </w:t>
      </w:r>
      <w:r w:rsidR="00306944">
        <w:t xml:space="preserve">küll ei elimineeri </w:t>
      </w:r>
      <w:r w:rsidR="00EB4A9A">
        <w:t>õiguste rikkumisi,</w:t>
      </w:r>
      <w:r w:rsidR="00306944">
        <w:t xml:space="preserve"> </w:t>
      </w:r>
      <w:r w:rsidR="00EB4A9A">
        <w:t>aga</w:t>
      </w:r>
      <w:r w:rsidR="004649F3">
        <w:t xml:space="preserve"> teeb veebisisu keeruliselt kättesaadavaks ja heidutab internetikasutajaid</w:t>
      </w:r>
      <w:r w:rsidR="00EB4A9A">
        <w:t>.</w:t>
      </w:r>
    </w:p>
    <w:p w14:paraId="7F6FAD36" w14:textId="7C57752B" w:rsidR="009C68A6" w:rsidRDefault="009C68A6" w:rsidP="009C68A6">
      <w:pPr>
        <w:pStyle w:val="Listtasand3"/>
      </w:pPr>
      <w:r>
        <w:t xml:space="preserve">Tasub </w:t>
      </w:r>
      <w:r w:rsidR="00EB4A9A">
        <w:t xml:space="preserve">lisaks </w:t>
      </w:r>
      <w:r>
        <w:t>märkida, et EL õiguse kohaselt saab vahendajatele ettekirjutusi anda sõltumata vahendaja enda vastutusest (DSA art 4–6)</w:t>
      </w:r>
      <w:r w:rsidR="00414502">
        <w:t xml:space="preserve">, mis tähendab, et </w:t>
      </w:r>
      <w:r w:rsidR="00C732EB">
        <w:t xml:space="preserve">kui see on kooskõlas liikmesriigi õigusega, võib </w:t>
      </w:r>
      <w:r w:rsidR="00414502">
        <w:t xml:space="preserve">EL õiguse kohaselt </w:t>
      </w:r>
      <w:r w:rsidR="00C732EB">
        <w:t xml:space="preserve">olla </w:t>
      </w:r>
      <w:r w:rsidR="00414502">
        <w:t>ettekirjutus</w:t>
      </w:r>
      <w:r w:rsidR="003E5801">
        <w:t xml:space="preserve">e adressaat vahendaja, kes ei vastuta </w:t>
      </w:r>
      <w:r w:rsidR="004114EF">
        <w:t>sisu edastamise eest.</w:t>
      </w:r>
      <w:r w:rsidR="004114EF">
        <w:rPr>
          <w:rStyle w:val="FootnoteReference"/>
        </w:rPr>
        <w:footnoteReference w:id="25"/>
      </w:r>
      <w:r>
        <w:t xml:space="preserve"> </w:t>
      </w:r>
      <w:r w:rsidR="00E95DAD">
        <w:t xml:space="preserve">Lisaks </w:t>
      </w:r>
      <w:r w:rsidR="00A43748">
        <w:t>ei pea õigusi</w:t>
      </w:r>
      <w:r w:rsidR="00A43748" w:rsidRPr="00FA5787">
        <w:t xml:space="preserve"> rikkuva isiku ja vahendaja vahel </w:t>
      </w:r>
      <w:r w:rsidR="00A43748">
        <w:t>olema</w:t>
      </w:r>
      <w:r w:rsidR="00A43748" w:rsidRPr="00FA5787">
        <w:t xml:space="preserve"> erili</w:t>
      </w:r>
      <w:r w:rsidR="00A43748">
        <w:t>st (nt lepingulist)</w:t>
      </w:r>
      <w:r w:rsidR="00A43748" w:rsidRPr="00FA5787">
        <w:t xml:space="preserve"> suhe</w:t>
      </w:r>
      <w:r w:rsidR="00A43748">
        <w:t>t.</w:t>
      </w:r>
      <w:r w:rsidR="00A43748">
        <w:rPr>
          <w:rStyle w:val="FootnoteReference"/>
        </w:rPr>
        <w:footnoteReference w:id="26"/>
      </w:r>
      <w:r w:rsidR="00EB4A9A">
        <w:t xml:space="preserve"> </w:t>
      </w:r>
    </w:p>
    <w:p w14:paraId="3D26A2E9" w14:textId="39896836" w:rsidR="001D5F8C" w:rsidRDefault="001D5F8C" w:rsidP="001D5F8C">
      <w:pPr>
        <w:pStyle w:val="Listtasand2"/>
      </w:pPr>
      <w:bookmarkStart w:id="5" w:name="_Toc229141289"/>
      <w:r>
        <w:t xml:space="preserve">Blokeerimismeetmed </w:t>
      </w:r>
      <w:r w:rsidR="00021897">
        <w:t>EL LR-des</w:t>
      </w:r>
      <w:bookmarkEnd w:id="5"/>
    </w:p>
    <w:p w14:paraId="4CE2C5F6" w14:textId="1807A484" w:rsidR="00021897" w:rsidRDefault="006C6E7B" w:rsidP="00021897">
      <w:pPr>
        <w:pStyle w:val="Listtasand3"/>
      </w:pPr>
      <w:r>
        <w:t xml:space="preserve">Kuna ettekirjutuste </w:t>
      </w:r>
      <w:r w:rsidR="008D5A66">
        <w:t xml:space="preserve">andmine on </w:t>
      </w:r>
      <w:r w:rsidR="000F2327">
        <w:t>EL-i üleselt harmoneerimata</w:t>
      </w:r>
      <w:r w:rsidR="001A0907">
        <w:t>,</w:t>
      </w:r>
      <w:r w:rsidR="001A0907" w:rsidRPr="001A0907">
        <w:t xml:space="preserve"> </w:t>
      </w:r>
      <w:r w:rsidR="001A0907">
        <w:t xml:space="preserve">on LR-des lähenetud </w:t>
      </w:r>
      <w:r w:rsidR="006B56F8">
        <w:t xml:space="preserve">veebisisu blokeerimise </w:t>
      </w:r>
      <w:r w:rsidR="001A0907">
        <w:t>küsimusele erinevalt. Proportsionaalsuse ja õiguste tasakaalustamise kriteeriumid</w:t>
      </w:r>
      <w:r w:rsidR="002F4057">
        <w:t>ele rõhumine</w:t>
      </w:r>
      <w:r w:rsidR="001A0907">
        <w:t xml:space="preserve"> näi</w:t>
      </w:r>
      <w:r w:rsidR="002F4057">
        <w:t>b</w:t>
      </w:r>
      <w:r w:rsidR="001A0907">
        <w:t xml:space="preserve"> olevat </w:t>
      </w:r>
      <w:r w:rsidR="002F4057">
        <w:t xml:space="preserve">LR-de seas </w:t>
      </w:r>
      <w:r w:rsidR="001A0907">
        <w:t>ühisosa</w:t>
      </w:r>
      <w:r w:rsidR="00050F0B">
        <w:t>.</w:t>
      </w:r>
      <w:r w:rsidR="000F2327">
        <w:rPr>
          <w:rStyle w:val="FootnoteReference"/>
        </w:rPr>
        <w:footnoteReference w:id="27"/>
      </w:r>
      <w:r w:rsidR="0078565B">
        <w:t xml:space="preserve"> </w:t>
      </w:r>
      <w:r w:rsidR="003D3D46">
        <w:t xml:space="preserve">Enamikes EL LR-des on </w:t>
      </w:r>
      <w:r w:rsidR="003D3D46" w:rsidRPr="00021897">
        <w:t xml:space="preserve">ettekirjutuste andmise pädevus </w:t>
      </w:r>
      <w:r w:rsidR="003D3D46">
        <w:t xml:space="preserve">tsiviilkohtul. </w:t>
      </w:r>
      <w:r w:rsidR="00362260">
        <w:t xml:space="preserve">Põhjamaadest on </w:t>
      </w:r>
      <w:r w:rsidR="0071116B">
        <w:t xml:space="preserve">kohtud </w:t>
      </w:r>
      <w:r w:rsidR="00362260">
        <w:t>Rootsi</w:t>
      </w:r>
      <w:r w:rsidR="0071116B">
        <w:t>s</w:t>
      </w:r>
      <w:r w:rsidR="00362260">
        <w:t>, Taani</w:t>
      </w:r>
      <w:r w:rsidR="0071116B">
        <w:t>s</w:t>
      </w:r>
      <w:r w:rsidR="00362260">
        <w:t xml:space="preserve"> </w:t>
      </w:r>
      <w:r w:rsidR="008E20C5">
        <w:t xml:space="preserve">(DNS-blokeerimine) </w:t>
      </w:r>
      <w:r w:rsidR="00362260">
        <w:t>ja Soome</w:t>
      </w:r>
      <w:r w:rsidR="0071116B">
        <w:t>s</w:t>
      </w:r>
      <w:r w:rsidR="00362260">
        <w:t xml:space="preserve"> </w:t>
      </w:r>
      <w:r w:rsidR="008E20C5">
        <w:t xml:space="preserve">(DNS- ja IP-blokeerimine) </w:t>
      </w:r>
      <w:r w:rsidR="001F7D58">
        <w:t>andnud</w:t>
      </w:r>
      <w:r w:rsidR="00362260">
        <w:t xml:space="preserve"> ettekirjutusi</w:t>
      </w:r>
      <w:r w:rsidR="001F7D58">
        <w:t>.</w:t>
      </w:r>
      <w:r w:rsidR="001F7D58">
        <w:rPr>
          <w:rStyle w:val="FootnoteReference"/>
        </w:rPr>
        <w:footnoteReference w:id="28"/>
      </w:r>
      <w:r w:rsidR="00A067CE">
        <w:t xml:space="preserve"> Saksamaa koh</w:t>
      </w:r>
      <w:r w:rsidR="00397832">
        <w:t xml:space="preserve">tute hinnangul on veebilehe blokeerimine </w:t>
      </w:r>
      <w:proofErr w:type="spellStart"/>
      <w:r w:rsidR="00397832" w:rsidRPr="00397832">
        <w:rPr>
          <w:i/>
          <w:iCs/>
        </w:rPr>
        <w:t>ultima</w:t>
      </w:r>
      <w:proofErr w:type="spellEnd"/>
      <w:r w:rsidR="00397832" w:rsidRPr="00397832">
        <w:rPr>
          <w:i/>
          <w:iCs/>
        </w:rPr>
        <w:t xml:space="preserve"> </w:t>
      </w:r>
      <w:proofErr w:type="spellStart"/>
      <w:r w:rsidR="00397832" w:rsidRPr="00397832">
        <w:rPr>
          <w:i/>
          <w:iCs/>
        </w:rPr>
        <w:t>ratio</w:t>
      </w:r>
      <w:proofErr w:type="spellEnd"/>
      <w:r w:rsidR="00397832">
        <w:t xml:space="preserve"> meede, mis tuleb kõne alla juhul, kui </w:t>
      </w:r>
      <w:r w:rsidR="001159F2">
        <w:t xml:space="preserve">muud </w:t>
      </w:r>
      <w:r w:rsidR="00B95D61">
        <w:t xml:space="preserve">võimalikud </w:t>
      </w:r>
      <w:r w:rsidR="001159F2">
        <w:t xml:space="preserve">viisid </w:t>
      </w:r>
      <w:r w:rsidR="006B4990">
        <w:t>õigusi rikkuva sisu eemaldamiseks</w:t>
      </w:r>
      <w:r w:rsidR="001159F2">
        <w:t xml:space="preserve"> on </w:t>
      </w:r>
      <w:r w:rsidR="00B95D61">
        <w:t>tulemuseta</w:t>
      </w:r>
      <w:r w:rsidR="001159F2">
        <w:t xml:space="preserve"> ammendanud.</w:t>
      </w:r>
      <w:r w:rsidR="001159F2">
        <w:rPr>
          <w:rStyle w:val="FootnoteReference"/>
        </w:rPr>
        <w:footnoteReference w:id="29"/>
      </w:r>
    </w:p>
    <w:p w14:paraId="0A02FC43" w14:textId="6B8061D0" w:rsidR="00021897" w:rsidRDefault="00021897" w:rsidP="00021897">
      <w:pPr>
        <w:pStyle w:val="Listtasand3"/>
      </w:pPr>
      <w:r>
        <w:t>Mõnedes EL LR-des (Kreeka, Itaalia, Leedu, Hispaania) on ettekirjutuste andmise pädevus haldusorganil. Näib, et EL õigus iseenesest ei keela olukorda, kus ettekirjutuse andmise pädevus on haldusorganil. DSA</w:t>
      </w:r>
      <w:r>
        <w:rPr>
          <w:rStyle w:val="FootnoteReference"/>
        </w:rPr>
        <w:footnoteReference w:id="30"/>
      </w:r>
      <w:r>
        <w:t xml:space="preserve"> artiklid 4–6 </w:t>
      </w:r>
      <w:r w:rsidR="00B237CD">
        <w:t xml:space="preserve">nimelt </w:t>
      </w:r>
      <w:r>
        <w:t xml:space="preserve">reguleerivad vahendaja vastutust ning iga nimetatud artikli viimane lõige näeb ette, et ei </w:t>
      </w:r>
      <w:r w:rsidRPr="00D75468">
        <w:t>piira</w:t>
      </w:r>
      <w:r>
        <w:t>ta</w:t>
      </w:r>
      <w:r w:rsidRPr="00D75468">
        <w:t xml:space="preserve"> õigus- või haldusasutuse võimalust nõuda kooskõlas liikmesriikide õigussüsteemidega teenuseosutajalt rikkumise lõpetamist või vältimist</w:t>
      </w:r>
      <w:r>
        <w:t xml:space="preserve">. </w:t>
      </w:r>
      <w:r w:rsidR="001C5467">
        <w:t>Õiguskirjanduses on väidetud, et</w:t>
      </w:r>
      <w:r>
        <w:t xml:space="preserve"> </w:t>
      </w:r>
      <w:proofErr w:type="spellStart"/>
      <w:r>
        <w:t>LR-d</w:t>
      </w:r>
      <w:proofErr w:type="spellEnd"/>
      <w:r>
        <w:t xml:space="preserve"> </w:t>
      </w:r>
      <w:r w:rsidR="001C5467">
        <w:t xml:space="preserve">on </w:t>
      </w:r>
      <w:r>
        <w:t xml:space="preserve">tuginenud just </w:t>
      </w:r>
      <w:r w:rsidR="001C5467">
        <w:t>nendele</w:t>
      </w:r>
      <w:r>
        <w:t xml:space="preserve"> </w:t>
      </w:r>
      <w:r w:rsidR="001C5467">
        <w:t>sätetele</w:t>
      </w:r>
      <w:r>
        <w:t xml:space="preserve">, </w:t>
      </w:r>
      <w:r w:rsidR="001C5467">
        <w:t xml:space="preserve">andes </w:t>
      </w:r>
      <w:r>
        <w:t>haldusorganile pädevuse ettekirjutuste andmiseks (enne DSA-d olid sarnased sätted e-kaubanduse direktiivi artiklites 12–14).</w:t>
      </w:r>
      <w:r>
        <w:rPr>
          <w:rStyle w:val="FootnoteReference"/>
        </w:rPr>
        <w:footnoteReference w:id="31"/>
      </w:r>
    </w:p>
    <w:p w14:paraId="2F9447CB" w14:textId="479BE88D" w:rsidR="00021897" w:rsidRDefault="00021897" w:rsidP="00021897">
      <w:pPr>
        <w:pStyle w:val="Listtasand3"/>
      </w:pPr>
      <w:r>
        <w:t xml:space="preserve">Leedus ja Hispaanias on kehtestatud kord, kus haldusorgan on pädev ettekirjutusi andma, kuid ta peab selleks enne (haldus)kohtult luba küsima. Nii on Leedus süsteem, kus sealne </w:t>
      </w:r>
      <w:r w:rsidRPr="00BD54E5">
        <w:t>Raadio- ja Teleamet</w:t>
      </w:r>
      <w:r w:rsidRPr="00BD54E5">
        <w:rPr>
          <w:rStyle w:val="FootnoteReference"/>
          <w:vertAlign w:val="baseline"/>
        </w:rPr>
        <w:t xml:space="preserve"> </w:t>
      </w:r>
      <w:r>
        <w:t>menetleb küll ettekirjutusi, kuid peab enne ettekirjutuse tegemist küsima esimese astme halduskohtult luba ettekirjutuse tegemiseks.</w:t>
      </w:r>
      <w:r>
        <w:rPr>
          <w:rStyle w:val="FootnoteReference"/>
        </w:rPr>
        <w:footnoteReference w:id="32"/>
      </w:r>
      <w:r>
        <w:t xml:space="preserve"> Kui kasutatakse dünaamilisi ettekirjutusi </w:t>
      </w:r>
      <w:r w:rsidR="004A3C8E">
        <w:t xml:space="preserve">ehk ettekirjutust laiendatakse </w:t>
      </w:r>
      <w:r>
        <w:t>veebilehe koopiate suhtes (</w:t>
      </w:r>
      <w:proofErr w:type="spellStart"/>
      <w:r w:rsidRPr="00917168">
        <w:rPr>
          <w:i/>
          <w:iCs/>
        </w:rPr>
        <w:t>mirror</w:t>
      </w:r>
      <w:proofErr w:type="spellEnd"/>
      <w:r>
        <w:t xml:space="preserve"> veebilehed), ei pea Raadio- ja Teleamet selleks kohtult eraldi luba küsima.</w:t>
      </w:r>
      <w:r>
        <w:rPr>
          <w:rStyle w:val="FootnoteReference"/>
        </w:rPr>
        <w:footnoteReference w:id="33"/>
      </w:r>
      <w:r>
        <w:t xml:space="preserve"> Hispaanias saab CPI poole taotluse alusel alustada menetlust ja anda ettekirjutusi, mille järgimine on</w:t>
      </w:r>
      <w:r w:rsidR="004A3C8E">
        <w:t xml:space="preserve"> adressaadile</w:t>
      </w:r>
      <w:r>
        <w:t xml:space="preserve"> vabatahtlik.</w:t>
      </w:r>
      <w:r>
        <w:rPr>
          <w:rStyle w:val="FootnoteReference"/>
        </w:rPr>
        <w:footnoteReference w:id="34"/>
      </w:r>
      <w:r>
        <w:t xml:space="preserve"> Kui ettekirjutuse adressaat ei järgi 24 tunni jooksul CPI ettekirjutust, edastab CPI pädevale halduskohtule taotluse</w:t>
      </w:r>
      <w:r w:rsidR="000E382D">
        <w:t xml:space="preserve"> anda</w:t>
      </w:r>
      <w:r>
        <w:t xml:space="preserve"> täitmiseks kohustuslik ettekirjutus</w:t>
      </w:r>
      <w:r w:rsidR="000E382D">
        <w:t>.</w:t>
      </w:r>
      <w:r>
        <w:rPr>
          <w:rStyle w:val="FootnoteReference"/>
        </w:rPr>
        <w:footnoteReference w:id="35"/>
      </w:r>
      <w:r>
        <w:t xml:space="preserve"> </w:t>
      </w:r>
      <w:r w:rsidR="000E382D">
        <w:t>K</w:t>
      </w:r>
      <w:r>
        <w:t>ui kohus rahuldab taotluse, vastutab CPI otsuse jõustamise eest.</w:t>
      </w:r>
      <w:r>
        <w:rPr>
          <w:rStyle w:val="FootnoteReference"/>
        </w:rPr>
        <w:footnoteReference w:id="36"/>
      </w:r>
      <w:r>
        <w:t xml:space="preserve"> CPI saab samuti teha ettekirjutusi dünaamiliseks, laiendades ettekirjutust teistele (alam)domeenidele ja IP-aadressidele.</w:t>
      </w:r>
      <w:r>
        <w:rPr>
          <w:rStyle w:val="FootnoteReference"/>
        </w:rPr>
        <w:footnoteReference w:id="37"/>
      </w:r>
      <w:r>
        <w:t xml:space="preserve"> </w:t>
      </w:r>
    </w:p>
    <w:p w14:paraId="436FB795" w14:textId="453AC4C9" w:rsidR="00021897" w:rsidRDefault="00021897" w:rsidP="00021897">
      <w:pPr>
        <w:pStyle w:val="Listtasand3"/>
      </w:pPr>
      <w:r>
        <w:t>Itaalias</w:t>
      </w:r>
      <w:r w:rsidR="00BC6D53">
        <w:t>, Lätis</w:t>
      </w:r>
      <w:r>
        <w:t xml:space="preserve"> ja Kreekas on teadaolevalt ainsad korrad, kus ettekirjutuse tegemiseks ei ole kohtu sekkumist üldse vaja. Itaalias on AGCOM-</w:t>
      </w:r>
      <w:proofErr w:type="spellStart"/>
      <w:r>
        <w:t>il</w:t>
      </w:r>
      <w:proofErr w:type="spellEnd"/>
      <w:r>
        <w:t xml:space="preserve"> pädevus ise ettekirjutusi teha</w:t>
      </w:r>
      <w:r>
        <w:rPr>
          <w:rStyle w:val="FootnoteReference"/>
        </w:rPr>
        <w:footnoteReference w:id="38"/>
      </w:r>
      <w:r>
        <w:t xml:space="preserve"> ning AGCOM-i ettekirjutusi saab edasi kaevata halduskohtusse.</w:t>
      </w:r>
      <w:r>
        <w:rPr>
          <w:rStyle w:val="FootnoteReference"/>
        </w:rPr>
        <w:footnoteReference w:id="39"/>
      </w:r>
      <w:r>
        <w:t xml:space="preserve"> Kreekas on EDPPI-l samuti pädevus ise ettekirjutusi </w:t>
      </w:r>
      <w:r w:rsidR="003F4680">
        <w:t>anda</w:t>
      </w:r>
      <w:r>
        <w:rPr>
          <w:rStyle w:val="FootnoteReference"/>
        </w:rPr>
        <w:footnoteReference w:id="40"/>
      </w:r>
      <w:r>
        <w:t xml:space="preserve"> ning ettekirjutusi saab edasi kaevata halduskohtusse.</w:t>
      </w:r>
      <w:r>
        <w:rPr>
          <w:rStyle w:val="FootnoteReference"/>
        </w:rPr>
        <w:footnoteReference w:id="41"/>
      </w:r>
      <w:r>
        <w:t xml:space="preserve"> </w:t>
      </w:r>
      <w:r w:rsidR="00DF3233">
        <w:t xml:space="preserve">Lätis </w:t>
      </w:r>
      <w:r w:rsidR="00CA53B1">
        <w:t>on</w:t>
      </w:r>
      <w:r w:rsidR="00DF3233">
        <w:t xml:space="preserve"> </w:t>
      </w:r>
      <w:r w:rsidR="00557513" w:rsidRPr="00557513">
        <w:t>Riiklik elektroonilise meedia nõukogu</w:t>
      </w:r>
      <w:r w:rsidR="00356CB0">
        <w:t xml:space="preserve">, kel on </w:t>
      </w:r>
      <w:r w:rsidR="003F4680">
        <w:t>pädevus</w:t>
      </w:r>
      <w:r w:rsidR="00356CB0">
        <w:t xml:space="preserve"> ettekirjutusi anda</w:t>
      </w:r>
      <w:r w:rsidR="003F4680">
        <w:rPr>
          <w:rStyle w:val="FootnoteReference"/>
        </w:rPr>
        <w:footnoteReference w:id="42"/>
      </w:r>
      <w:r w:rsidR="00EB06EF">
        <w:t xml:space="preserve"> ja ettekirjutusi saab halduskohtusse edasi kaevata.</w:t>
      </w:r>
      <w:r w:rsidR="00EB06EF">
        <w:rPr>
          <w:rStyle w:val="FootnoteReference"/>
        </w:rPr>
        <w:footnoteReference w:id="43"/>
      </w:r>
    </w:p>
    <w:p w14:paraId="49698641" w14:textId="5CFC6ADC" w:rsidR="008D40F5" w:rsidRDefault="000D08C4" w:rsidP="00021897">
      <w:pPr>
        <w:pStyle w:val="Listtasand3"/>
      </w:pPr>
      <w:r>
        <w:t>Blokeerimis</w:t>
      </w:r>
      <w:r w:rsidR="00393A2E">
        <w:t xml:space="preserve">otsuste kohta ütleb veel </w:t>
      </w:r>
      <w:r w:rsidR="007F4D17">
        <w:t>DSA artikkel 9</w:t>
      </w:r>
      <w:r w:rsidR="00393A2E">
        <w:t>, millised on tingimused</w:t>
      </w:r>
      <w:r w:rsidR="00062E7C">
        <w:t>, millele blokeerimisotsus peab vastama</w:t>
      </w:r>
      <w:r w:rsidR="007A4DF0">
        <w:t xml:space="preserve"> ning kuidas ja kellele tuleb blokeerimisotsuseid edastada. </w:t>
      </w:r>
      <w:r w:rsidR="00450123">
        <w:t>DSA artikkel 9 ei ole ise alus blokeerimisotsuste tegemiseks</w:t>
      </w:r>
      <w:r w:rsidR="00DF0DE2">
        <w:t xml:space="preserve"> ega reguleeri blokeerimisotsuste tegemise tingimusi</w:t>
      </w:r>
      <w:r w:rsidR="00522F38">
        <w:t xml:space="preserve">, vaid üksnes seda, et blokeerimisotsus ise peab </w:t>
      </w:r>
      <w:r w:rsidR="000F2AB4">
        <w:t>vastama teatud kriteeriumidele</w:t>
      </w:r>
      <w:r w:rsidR="009B6058">
        <w:t xml:space="preserve">. </w:t>
      </w:r>
      <w:r w:rsidR="00671593">
        <w:t xml:space="preserve">Kui Eestis kehtestada erikord autoriõigusi rikkuva veebisisu blokeerimiseks, </w:t>
      </w:r>
      <w:r w:rsidR="0005328E">
        <w:t>tuleb DSA-st tulenevate nõuetega arvestada.</w:t>
      </w:r>
    </w:p>
    <w:p w14:paraId="75158003" w14:textId="483B9E72" w:rsidR="009C6745" w:rsidRDefault="00595066" w:rsidP="00CD17A6">
      <w:pPr>
        <w:pStyle w:val="Listtasand2"/>
      </w:pPr>
      <w:bookmarkStart w:id="6" w:name="_Toc229141290"/>
      <w:r>
        <w:t>Veebisisu b</w:t>
      </w:r>
      <w:r w:rsidR="00CD17A6">
        <w:t>lokeerimine E</w:t>
      </w:r>
      <w:r w:rsidR="00BC5A9F">
        <w:t>esti</w:t>
      </w:r>
      <w:r w:rsidR="00CD17A6">
        <w:t xml:space="preserve"> </w:t>
      </w:r>
      <w:r w:rsidR="00DA2B67">
        <w:t xml:space="preserve">kehtivas </w:t>
      </w:r>
      <w:r w:rsidR="00CD17A6">
        <w:t>õiguses</w:t>
      </w:r>
      <w:bookmarkEnd w:id="6"/>
    </w:p>
    <w:p w14:paraId="49879E25" w14:textId="4D49A9B5" w:rsidR="00161167" w:rsidRDefault="00936B61" w:rsidP="00936B61">
      <w:pPr>
        <w:pStyle w:val="Listtasand3"/>
      </w:pPr>
      <w:r>
        <w:t>E</w:t>
      </w:r>
      <w:r w:rsidR="00BC5A9F">
        <w:t>esti</w:t>
      </w:r>
      <w:r>
        <w:t xml:space="preserve"> kehtiv õigus ei näe ette spetsiifilist mehhanismi veebisisu blokeerimiseks, </w:t>
      </w:r>
      <w:r w:rsidR="001D4AD5">
        <w:t>olukorras, kus veebilehel kättesaadav sisu rikub autoriõigusi</w:t>
      </w:r>
      <w:r>
        <w:t>.</w:t>
      </w:r>
      <w:r w:rsidR="001D4AD5">
        <w:t xml:space="preserve"> </w:t>
      </w:r>
      <w:r w:rsidR="009C56DD">
        <w:t xml:space="preserve">Võrdluseks, EMTA blokeerib </w:t>
      </w:r>
      <w:r w:rsidR="00D96B30" w:rsidRPr="00D96B30">
        <w:t>juurdepääsu nendele hasartmängukorraldaja veebilehtedele, kelle teenus on Eestis kätte saadav, kuid kellel puudub Eestis hasartmängude pakkumiseks nõutav tegevus- ja korraldusluba</w:t>
      </w:r>
      <w:r w:rsidR="00D96B30">
        <w:t>. Blokeeritud on domeeninimed.</w:t>
      </w:r>
      <w:r w:rsidR="00D96B30">
        <w:rPr>
          <w:rStyle w:val="FootnoteReference"/>
        </w:rPr>
        <w:footnoteReference w:id="44"/>
      </w:r>
      <w:r w:rsidR="006427BB">
        <w:t xml:space="preserve"> </w:t>
      </w:r>
      <w:r w:rsidR="002E17A3">
        <w:t>Tarbijakaitseseaduse</w:t>
      </w:r>
      <w:r w:rsidR="00542F83">
        <w:t xml:space="preserve"> § 62</w:t>
      </w:r>
      <w:r w:rsidR="00542F83" w:rsidRPr="000935B3">
        <w:rPr>
          <w:vertAlign w:val="superscript"/>
        </w:rPr>
        <w:t>2</w:t>
      </w:r>
      <w:r w:rsidR="00542F83">
        <w:t xml:space="preserve"> lg 1</w:t>
      </w:r>
      <w:r w:rsidR="002E17A3">
        <w:t xml:space="preserve"> </w:t>
      </w:r>
      <w:r w:rsidR="00542F83">
        <w:t xml:space="preserve">kohaselt </w:t>
      </w:r>
      <w:r w:rsidR="00542F83" w:rsidRPr="00542F83">
        <w:t xml:space="preserve">on </w:t>
      </w:r>
      <w:r w:rsidR="00542F83">
        <w:t>TTJA-l</w:t>
      </w:r>
      <w:r w:rsidR="00542F83" w:rsidRPr="00542F83">
        <w:t xml:space="preserve"> õigus teha infoühiskonna teenuse osutajale ettekirjutus ja nõuda veebiliidese kaudu esitatava teabe kõrvaldamist, veebiliidesele juurdepääsu piiramist või veebiliidesele juurdepääsul tarbijatele hoiatuse lisamist</w:t>
      </w:r>
      <w:r w:rsidR="00542F83">
        <w:t>.</w:t>
      </w:r>
      <w:r w:rsidR="00436EDD">
        <w:t xml:space="preserve"> Kasutatakse DNS-blokeerimist (TKS § 62</w:t>
      </w:r>
      <w:r w:rsidR="00436EDD" w:rsidRPr="000935B3">
        <w:rPr>
          <w:vertAlign w:val="superscript"/>
        </w:rPr>
        <w:t>2</w:t>
      </w:r>
      <w:r w:rsidR="00436EDD">
        <w:t xml:space="preserve"> </w:t>
      </w:r>
      <w:proofErr w:type="spellStart"/>
      <w:r w:rsidR="00436EDD">
        <w:t>lg-d</w:t>
      </w:r>
      <w:proofErr w:type="spellEnd"/>
      <w:r w:rsidR="00436EDD">
        <w:t xml:space="preserve"> 3-4)</w:t>
      </w:r>
      <w:r w:rsidR="003240DC">
        <w:t>.</w:t>
      </w:r>
      <w:r w:rsidR="00542F83">
        <w:t xml:space="preserve"> </w:t>
      </w:r>
      <w:r w:rsidR="00D06097">
        <w:t xml:space="preserve">Sarnased mehhanismid näeb ette </w:t>
      </w:r>
      <w:proofErr w:type="spellStart"/>
      <w:r w:rsidR="00D06097" w:rsidRPr="00797FBD">
        <w:t>InfoTS</w:t>
      </w:r>
      <w:proofErr w:type="spellEnd"/>
      <w:r w:rsidR="00D06097" w:rsidRPr="00797FBD">
        <w:t xml:space="preserve"> §</w:t>
      </w:r>
      <w:r w:rsidR="00D06097">
        <w:t>-s</w:t>
      </w:r>
      <w:r w:rsidR="00D06097" w:rsidRPr="00797FBD">
        <w:t xml:space="preserve"> 13</w:t>
      </w:r>
      <w:r w:rsidR="00D06097" w:rsidRPr="00C3399C">
        <w:rPr>
          <w:vertAlign w:val="superscript"/>
        </w:rPr>
        <w:t>1</w:t>
      </w:r>
      <w:r w:rsidR="00D06097" w:rsidRPr="00797FBD">
        <w:t xml:space="preserve"> </w:t>
      </w:r>
      <w:r w:rsidR="00D06097">
        <w:t xml:space="preserve">ja </w:t>
      </w:r>
      <w:r w:rsidR="00D06097" w:rsidRPr="00797FBD">
        <w:t>TNVS § 56</w:t>
      </w:r>
      <w:r w:rsidR="00D06097" w:rsidRPr="00D06097">
        <w:rPr>
          <w:vertAlign w:val="superscript"/>
        </w:rPr>
        <w:t>2</w:t>
      </w:r>
      <w:r w:rsidR="00D06097">
        <w:t xml:space="preserve">. </w:t>
      </w:r>
      <w:r w:rsidR="001C68BC" w:rsidRPr="001C68BC">
        <w:t xml:space="preserve">Eesti õiguses näeb </w:t>
      </w:r>
      <w:proofErr w:type="spellStart"/>
      <w:r w:rsidR="001C68BC" w:rsidRPr="001C68BC">
        <w:t>InfoTS</w:t>
      </w:r>
      <w:proofErr w:type="spellEnd"/>
      <w:r w:rsidR="001C68BC" w:rsidRPr="001C68BC">
        <w:t xml:space="preserve"> § 13</w:t>
      </w:r>
      <w:r w:rsidR="001C68BC" w:rsidRPr="001C68BC">
        <w:rPr>
          <w:vertAlign w:val="superscript"/>
        </w:rPr>
        <w:t>2</w:t>
      </w:r>
      <w:r w:rsidR="001C68BC" w:rsidRPr="001C68BC">
        <w:t xml:space="preserve"> ette, et korrakaitseorgani korraldus peab vastama DSA</w:t>
      </w:r>
      <w:r w:rsidR="007F4D17">
        <w:t xml:space="preserve"> </w:t>
      </w:r>
      <w:r w:rsidR="001C68BC" w:rsidRPr="001C68BC">
        <w:t>art 9 tingimustele</w:t>
      </w:r>
      <w:r w:rsidR="00CE75EA">
        <w:t xml:space="preserve">. Viimane pole erialus ettekirjutuste tegemiseks, </w:t>
      </w:r>
      <w:r w:rsidR="00003F92">
        <w:t>see üksnes</w:t>
      </w:r>
      <w:r w:rsidR="00CE75EA">
        <w:t xml:space="preserve"> </w:t>
      </w:r>
      <w:r w:rsidR="00774992">
        <w:t>loob seose riigisisese</w:t>
      </w:r>
      <w:r w:rsidR="00003F92">
        <w:t>lt tehtavate</w:t>
      </w:r>
      <w:r w:rsidR="00774992">
        <w:t xml:space="preserve"> ettekirjutuse </w:t>
      </w:r>
      <w:r w:rsidR="00003F92">
        <w:t>ja DSA nõuete vahel</w:t>
      </w:r>
      <w:r w:rsidR="001C68BC">
        <w:t>.</w:t>
      </w:r>
      <w:r w:rsidR="001C68BC" w:rsidRPr="001C68BC">
        <w:t xml:space="preserve"> </w:t>
      </w:r>
      <w:r w:rsidR="00FC7E72">
        <w:t xml:space="preserve">Intellektuaalomandi </w:t>
      </w:r>
      <w:r w:rsidR="00D108D6">
        <w:t xml:space="preserve">õiguse valdkonnas on </w:t>
      </w:r>
      <w:r w:rsidR="00161167">
        <w:t xml:space="preserve">geograafiliste tähiste </w:t>
      </w:r>
      <w:r w:rsidR="00076D8F">
        <w:t>kaitseks</w:t>
      </w:r>
      <w:r w:rsidR="00161167">
        <w:t xml:space="preserve"> ette nähtud, et kui levitatakse </w:t>
      </w:r>
      <w:r w:rsidR="004B3FB6" w:rsidRPr="004B3FB6">
        <w:t>kaitstud päritolunimetuse ja kaitstud geograafilise tähise kaitsega</w:t>
      </w:r>
      <w:r w:rsidR="004B3FB6">
        <w:t xml:space="preserve"> </w:t>
      </w:r>
      <w:r w:rsidR="00161167" w:rsidRPr="00161167">
        <w:t>vastuolus olevat teavet veebiliidese kaudu</w:t>
      </w:r>
      <w:r w:rsidR="00161167">
        <w:t xml:space="preserve">, </w:t>
      </w:r>
      <w:r w:rsidR="00137D80">
        <w:t>on</w:t>
      </w:r>
      <w:r w:rsidR="00161167">
        <w:t xml:space="preserve"> </w:t>
      </w:r>
      <w:r w:rsidR="00076D8F">
        <w:t>PTA-l</w:t>
      </w:r>
      <w:r w:rsidR="00161167" w:rsidRPr="005A36C8">
        <w:t xml:space="preserve"> õigus teha infoühiskonna teenuse osutajale ettekirjutus ning nõuda infoühiskonna teenuse kaudu esitatava teabe kõrvaldamist või teabele juurdepääsu piiramist</w:t>
      </w:r>
      <w:r w:rsidR="00137D80">
        <w:t xml:space="preserve"> (ELÜPS § 120</w:t>
      </w:r>
      <w:r w:rsidR="00137D80" w:rsidRPr="000935B3">
        <w:rPr>
          <w:vertAlign w:val="superscript"/>
        </w:rPr>
        <w:t>1</w:t>
      </w:r>
      <w:r w:rsidR="00137D80">
        <w:t xml:space="preserve"> lg 1). K</w:t>
      </w:r>
      <w:r w:rsidR="007E39CA">
        <w:t xml:space="preserve">asutatakse DNS-blokeerimist </w:t>
      </w:r>
      <w:r w:rsidR="00633A44">
        <w:t>(ELÜPS § 120</w:t>
      </w:r>
      <w:r w:rsidR="00633A44" w:rsidRPr="00A35C15">
        <w:rPr>
          <w:vertAlign w:val="superscript"/>
        </w:rPr>
        <w:t>1</w:t>
      </w:r>
      <w:r w:rsidR="00633A44">
        <w:t xml:space="preserve"> </w:t>
      </w:r>
      <w:proofErr w:type="spellStart"/>
      <w:r w:rsidR="00633A44">
        <w:t>lg</w:t>
      </w:r>
      <w:r w:rsidR="007E39CA">
        <w:t>-d</w:t>
      </w:r>
      <w:proofErr w:type="spellEnd"/>
      <w:r w:rsidR="00633A44">
        <w:t xml:space="preserve"> 2</w:t>
      </w:r>
      <w:r w:rsidR="007E39CA">
        <w:t>–3</w:t>
      </w:r>
      <w:r w:rsidR="00633A44">
        <w:t>)</w:t>
      </w:r>
      <w:r w:rsidR="005928F8">
        <w:t>.</w:t>
      </w:r>
      <w:r w:rsidR="00AB0AAA">
        <w:t xml:space="preserve"> </w:t>
      </w:r>
      <w:r w:rsidR="007E39CA">
        <w:t xml:space="preserve">Seega on Eesti õiguses põhimõtteliselt juba olemas </w:t>
      </w:r>
      <w:r w:rsidR="00B653AC">
        <w:t xml:space="preserve">mõningad </w:t>
      </w:r>
      <w:r w:rsidR="007E39CA">
        <w:t xml:space="preserve">mehhanismid </w:t>
      </w:r>
      <w:r w:rsidR="00B653AC">
        <w:t>veebisisu blokeerimiseks</w:t>
      </w:r>
      <w:r w:rsidR="00BE497B">
        <w:t>, kusjuures kasutatakse</w:t>
      </w:r>
      <w:r w:rsidR="00B653AC">
        <w:t xml:space="preserve"> just DNS</w:t>
      </w:r>
      <w:r w:rsidR="00BE497B">
        <w:t>-</w:t>
      </w:r>
      <w:r w:rsidR="00B653AC">
        <w:t>blokeerimis</w:t>
      </w:r>
      <w:r w:rsidR="00BE497B">
        <w:t>t</w:t>
      </w:r>
      <w:r w:rsidR="00B653AC">
        <w:t xml:space="preserve">. </w:t>
      </w:r>
      <w:r w:rsidR="00DD23F8">
        <w:t>Seehulgas on</w:t>
      </w:r>
      <w:r w:rsidR="00CF26D2">
        <w:t xml:space="preserve"> geograafiliste tähiste kui ühe </w:t>
      </w:r>
      <w:r w:rsidR="00DD23F8">
        <w:t>intellektuaal</w:t>
      </w:r>
      <w:r w:rsidR="00CF26D2">
        <w:t>omandi liigi kaitseks ette nähtud mehhanism, kus haldusorgan on pädev andma vahendajatele ettekirjutusi.</w:t>
      </w:r>
      <w:r w:rsidR="00D663F1">
        <w:t xml:space="preserve"> </w:t>
      </w:r>
    </w:p>
    <w:p w14:paraId="1E607AD3" w14:textId="75C0E19A" w:rsidR="006901BA" w:rsidRDefault="00590E66" w:rsidP="006901BA">
      <w:pPr>
        <w:pStyle w:val="Listtasand3"/>
      </w:pPr>
      <w:r>
        <w:t>Kui veebilehel olev sisu on</w:t>
      </w:r>
      <w:r w:rsidR="00BF6B16">
        <w:t xml:space="preserve"> </w:t>
      </w:r>
      <w:r w:rsidR="002F1135">
        <w:t xml:space="preserve">autoriõiguse või kaasnevate õiguste omaja õigusi rikkuval viisil </w:t>
      </w:r>
      <w:r w:rsidR="00D663F1">
        <w:t xml:space="preserve">nt </w:t>
      </w:r>
      <w:r w:rsidR="009D21B9">
        <w:t xml:space="preserve">reprodutseeritud, üldsusele kättesaadavaks tehtud, võib õiguste omaja kasutada </w:t>
      </w:r>
      <w:proofErr w:type="spellStart"/>
      <w:r w:rsidR="001A419B">
        <w:t>AutÕS</w:t>
      </w:r>
      <w:proofErr w:type="spellEnd"/>
      <w:r w:rsidR="001A419B">
        <w:t xml:space="preserve"> § 8</w:t>
      </w:r>
      <w:r w:rsidR="001062B6">
        <w:t>1</w:t>
      </w:r>
      <w:r w:rsidR="001062B6" w:rsidRPr="007779DD">
        <w:rPr>
          <w:vertAlign w:val="superscript"/>
        </w:rPr>
        <w:t>7</w:t>
      </w:r>
      <w:r w:rsidR="001062B6">
        <w:t xml:space="preserve"> </w:t>
      </w:r>
      <w:proofErr w:type="spellStart"/>
      <w:r w:rsidR="001062B6">
        <w:t>lg</w:t>
      </w:r>
      <w:r w:rsidR="00FB14FE">
        <w:t>-s</w:t>
      </w:r>
      <w:proofErr w:type="spellEnd"/>
      <w:r w:rsidR="00FB14FE">
        <w:t xml:space="preserve"> 1 ette nähtud õiguskaitsevahendeid. Muuhulgas võib </w:t>
      </w:r>
      <w:proofErr w:type="spellStart"/>
      <w:r w:rsidR="00921A47">
        <w:t>AutÕS</w:t>
      </w:r>
      <w:proofErr w:type="spellEnd"/>
      <w:r w:rsidR="00921A47">
        <w:t xml:space="preserve"> § 81</w:t>
      </w:r>
      <w:r w:rsidR="00921A47" w:rsidRPr="007779DD">
        <w:rPr>
          <w:vertAlign w:val="superscript"/>
        </w:rPr>
        <w:t>7</w:t>
      </w:r>
      <w:r w:rsidR="00921A47">
        <w:t xml:space="preserve"> lg 1 p</w:t>
      </w:r>
      <w:r w:rsidR="00DB5FC2">
        <w:t xml:space="preserve"> 2 kohaselt </w:t>
      </w:r>
      <w:r w:rsidR="00FB14FE">
        <w:t xml:space="preserve">nõuda </w:t>
      </w:r>
      <w:r w:rsidR="00DB5FC2" w:rsidRPr="00DB5FC2">
        <w:t xml:space="preserve">teose või autoriõigusega kaasnevate õiguste objekti õigusvastase kasutamise lõpetamist ja edasisest rikkumisest hoidumist vastavalt </w:t>
      </w:r>
      <w:r w:rsidR="00DB5FC2">
        <w:t>VÕS</w:t>
      </w:r>
      <w:r w:rsidR="00DB5FC2" w:rsidRPr="00DB5FC2">
        <w:t xml:space="preserve"> §-le 1055</w:t>
      </w:r>
      <w:r w:rsidR="00DB5FC2">
        <w:t xml:space="preserve">. </w:t>
      </w:r>
      <w:r w:rsidR="006901BA">
        <w:t>VÕS § 1055 lg 3 p 1 omakorda viitab, et autoriõiguse või kaasnevate õiguste rikkumises, võib isik, kelle õigusi rikuti, nõuda</w:t>
      </w:r>
      <w:r w:rsidR="007779DD">
        <w:t xml:space="preserve"> </w:t>
      </w:r>
      <w:r w:rsidR="006901BA">
        <w:t>rikkumisest hoidumist tulevikus rikkujalt ja isikult, kelle teenuseid kolmas isik kasutas õiguse rikkumise eesmärgil</w:t>
      </w:r>
      <w:r w:rsidR="007779DD">
        <w:t>.</w:t>
      </w:r>
      <w:r w:rsidR="00A00BC4">
        <w:t xml:space="preserve"> Seega on ka kehtiva õiguse alusel põhimõtteliselt võimalik </w:t>
      </w:r>
      <w:r w:rsidR="002E75C7">
        <w:t xml:space="preserve">õiguste omajal </w:t>
      </w:r>
      <w:r w:rsidR="00A00BC4">
        <w:t xml:space="preserve">esitada </w:t>
      </w:r>
      <w:r w:rsidR="008C1361">
        <w:t xml:space="preserve">kohtu kaudu </w:t>
      </w:r>
      <w:r w:rsidR="00A00BC4">
        <w:t>nõu</w:t>
      </w:r>
      <w:r w:rsidR="008C1361">
        <w:t>deid</w:t>
      </w:r>
      <w:r w:rsidR="00A00BC4">
        <w:t xml:space="preserve"> </w:t>
      </w:r>
      <w:r w:rsidR="004D373A">
        <w:t>vahendaja</w:t>
      </w:r>
      <w:r w:rsidR="00843723">
        <w:t xml:space="preserve"> vastu.</w:t>
      </w:r>
    </w:p>
    <w:p w14:paraId="64D5F0E6" w14:textId="44223C7E" w:rsidR="00051607" w:rsidRDefault="00843723" w:rsidP="00164D01">
      <w:pPr>
        <w:pStyle w:val="Listtasand3"/>
      </w:pPr>
      <w:r>
        <w:t>Kehtiva õiguse</w:t>
      </w:r>
      <w:r w:rsidR="00DA71C2">
        <w:t xml:space="preserve"> järgi peaks </w:t>
      </w:r>
      <w:r w:rsidR="00F329B9">
        <w:t xml:space="preserve">autoriõiguse või kaasnevate õiguste omaja </w:t>
      </w:r>
      <w:r w:rsidR="003E4B06">
        <w:t xml:space="preserve">esitama </w:t>
      </w:r>
      <w:r w:rsidR="005F6C92">
        <w:t xml:space="preserve">ainuõigusi rikkuva </w:t>
      </w:r>
      <w:r w:rsidR="00F329B9">
        <w:t xml:space="preserve">veebisisu blokeerimiseks </w:t>
      </w:r>
      <w:r w:rsidR="003E4B06">
        <w:t xml:space="preserve">hagi </w:t>
      </w:r>
      <w:r w:rsidR="00F329B9">
        <w:t>tsiviilkohtusse</w:t>
      </w:r>
      <w:r w:rsidR="003E4B06">
        <w:t xml:space="preserve">. Kui on tuvastatud </w:t>
      </w:r>
      <w:r w:rsidR="004D373A">
        <w:t xml:space="preserve">õiguste rikkumine, </w:t>
      </w:r>
      <w:r w:rsidR="00251F72">
        <w:t xml:space="preserve">võib </w:t>
      </w:r>
      <w:r w:rsidR="00921A47">
        <w:t xml:space="preserve">kohus </w:t>
      </w:r>
      <w:proofErr w:type="spellStart"/>
      <w:r w:rsidR="00921A47">
        <w:t>AutÕS</w:t>
      </w:r>
      <w:proofErr w:type="spellEnd"/>
      <w:r w:rsidR="00921A47">
        <w:t xml:space="preserve"> § 81</w:t>
      </w:r>
      <w:r w:rsidR="00921A47" w:rsidRPr="00F66CE2">
        <w:rPr>
          <w:vertAlign w:val="superscript"/>
        </w:rPr>
        <w:t>7</w:t>
      </w:r>
      <w:r w:rsidR="00921A47">
        <w:t xml:space="preserve"> lg 1 p 2 ja VÕS § 1055 lg 3 p 1 alusel kohustada otsest rikkujat ja/või vahendajat </w:t>
      </w:r>
      <w:r w:rsidR="00C44340">
        <w:t xml:space="preserve">võtma meetmeid </w:t>
      </w:r>
      <w:r w:rsidR="00DD2164">
        <w:t xml:space="preserve">rikkumisest hoidumiseks. </w:t>
      </w:r>
      <w:r w:rsidR="00D444B2">
        <w:t>Tei</w:t>
      </w:r>
      <w:r w:rsidR="00266869">
        <w:t>n</w:t>
      </w:r>
      <w:r w:rsidR="00D444B2">
        <w:t xml:space="preserve">e võimalus </w:t>
      </w:r>
      <w:r w:rsidR="00266869">
        <w:t>on</w:t>
      </w:r>
      <w:r w:rsidR="00D444B2">
        <w:t xml:space="preserve"> </w:t>
      </w:r>
      <w:proofErr w:type="spellStart"/>
      <w:r w:rsidR="00D444B2">
        <w:t>TsMS</w:t>
      </w:r>
      <w:proofErr w:type="spellEnd"/>
      <w:r w:rsidR="00D444B2">
        <w:t xml:space="preserve"> § 378 lg 2 p</w:t>
      </w:r>
      <w:r w:rsidR="00266869">
        <w:t>-s</w:t>
      </w:r>
      <w:r w:rsidR="00D444B2">
        <w:t xml:space="preserve"> 2</w:t>
      </w:r>
      <w:r w:rsidR="00266869">
        <w:t>, mille</w:t>
      </w:r>
      <w:r w:rsidR="00D444B2">
        <w:t xml:space="preserve"> kohaselt </w:t>
      </w:r>
      <w:r w:rsidR="00266869">
        <w:t xml:space="preserve">võib </w:t>
      </w:r>
      <w:r w:rsidR="007E2C2F">
        <w:t xml:space="preserve">hagi tagamiseks </w:t>
      </w:r>
      <w:r w:rsidR="00266869">
        <w:t xml:space="preserve">kohustada vahendajat </w:t>
      </w:r>
      <w:r w:rsidR="007E2C2F">
        <w:t>rakendama meetmeid autoriõiguse rikkumise peatamiseks või ärahoidmiseks.</w:t>
      </w:r>
      <w:r w:rsidR="00965627">
        <w:t xml:space="preserve"> Kuna </w:t>
      </w:r>
      <w:r w:rsidR="00965627" w:rsidRPr="00965627">
        <w:t>VÕS § 1055 lg 3 p 1</w:t>
      </w:r>
      <w:r w:rsidR="00965627">
        <w:t xml:space="preserve"> </w:t>
      </w:r>
      <w:r w:rsidR="00ED0731">
        <w:t xml:space="preserve">kohaldamiseks </w:t>
      </w:r>
      <w:r w:rsidR="00884089">
        <w:t xml:space="preserve">on vaja jõustunud kohtuotsust, võiks </w:t>
      </w:r>
      <w:proofErr w:type="spellStart"/>
      <w:r w:rsidR="00884089" w:rsidRPr="00884089">
        <w:t>TsMS</w:t>
      </w:r>
      <w:proofErr w:type="spellEnd"/>
      <w:r w:rsidR="00884089" w:rsidRPr="00884089">
        <w:t xml:space="preserve"> § 378 lg 2 p 2</w:t>
      </w:r>
      <w:r w:rsidR="00884089">
        <w:t xml:space="preserve"> korras hagi tagamine pakkuda õiguste omajatele kiiremat menetlust </w:t>
      </w:r>
      <w:r w:rsidR="004244AA">
        <w:t>veebisisu blokeerimiseks.</w:t>
      </w:r>
      <w:r w:rsidR="004244AA">
        <w:rPr>
          <w:rStyle w:val="FootnoteReference"/>
        </w:rPr>
        <w:footnoteReference w:id="45"/>
      </w:r>
      <w:r w:rsidR="00F975F8">
        <w:t xml:space="preserve"> </w:t>
      </w:r>
      <w:r w:rsidR="006E4316">
        <w:t>On välja pakutud, et h</w:t>
      </w:r>
      <w:r w:rsidR="00F975F8">
        <w:t xml:space="preserve">agi tagamise korras </w:t>
      </w:r>
      <w:r w:rsidR="00164D01">
        <w:t>veebisisu blokeerimis</w:t>
      </w:r>
      <w:r w:rsidR="00C045C1">
        <w:t>e taotlemist</w:t>
      </w:r>
      <w:r w:rsidR="00164D01">
        <w:t xml:space="preserve"> </w:t>
      </w:r>
      <w:r w:rsidR="002356C9">
        <w:t>võib praktikas piirata</w:t>
      </w:r>
      <w:r w:rsidR="00164D01">
        <w:t xml:space="preserve"> asjaolu, et </w:t>
      </w:r>
      <w:proofErr w:type="spellStart"/>
      <w:r w:rsidR="00164D01">
        <w:t>TsMS</w:t>
      </w:r>
      <w:proofErr w:type="spellEnd"/>
      <w:r w:rsidR="00164D01">
        <w:t xml:space="preserve"> § 382 lg 2 kohaselt </w:t>
      </w:r>
      <w:r w:rsidR="004E64BD">
        <w:t xml:space="preserve">määratakse avaldajale hagi esitamiseks tähtaeg, </w:t>
      </w:r>
      <w:r w:rsidR="00164D01">
        <w:t>mis ei või olla pikem kui üks kuu</w:t>
      </w:r>
      <w:r w:rsidR="00F86B74">
        <w:t xml:space="preserve"> ja </w:t>
      </w:r>
      <w:r w:rsidR="00F86B74" w:rsidRPr="00F86B74">
        <w:t>tähtaja möödu</w:t>
      </w:r>
      <w:r w:rsidR="00DA5589">
        <w:t>des</w:t>
      </w:r>
      <w:r w:rsidR="00F86B74" w:rsidRPr="00F86B74">
        <w:t xml:space="preserve"> tuleb kaitsemeetmed tühistada</w:t>
      </w:r>
      <w:r w:rsidR="004A62C9">
        <w:t xml:space="preserve"> (k</w:t>
      </w:r>
      <w:r w:rsidR="002356C9">
        <w:t xml:space="preserve">onkreetne </w:t>
      </w:r>
      <w:r w:rsidR="004A62C9">
        <w:t>tingimus</w:t>
      </w:r>
      <w:r w:rsidR="002356C9">
        <w:t xml:space="preserve"> tuleneb</w:t>
      </w:r>
      <w:r w:rsidR="00E414E3">
        <w:t xml:space="preserve"> jõustamisdirektiivi artikli </w:t>
      </w:r>
      <w:r w:rsidR="004A62C9">
        <w:t xml:space="preserve">9 </w:t>
      </w:r>
      <w:proofErr w:type="spellStart"/>
      <w:r w:rsidR="004A62C9">
        <w:t>lg-st</w:t>
      </w:r>
      <w:proofErr w:type="spellEnd"/>
      <w:r w:rsidR="004A62C9">
        <w:t xml:space="preserve"> 5).</w:t>
      </w:r>
      <w:r w:rsidR="004A62C9">
        <w:rPr>
          <w:rStyle w:val="FootnoteReference"/>
        </w:rPr>
        <w:footnoteReference w:id="46"/>
      </w:r>
      <w:r w:rsidR="004A62C9">
        <w:t xml:space="preserve"> </w:t>
      </w:r>
      <w:r w:rsidR="00DA5589">
        <w:t>JDM-</w:t>
      </w:r>
      <w:proofErr w:type="spellStart"/>
      <w:r w:rsidR="00DA5589">
        <w:t>ile</w:t>
      </w:r>
      <w:proofErr w:type="spellEnd"/>
      <w:r w:rsidR="00DA5589">
        <w:t xml:space="preserve"> teadaolevalt ei ole hagi tagamise korras veebisisu blokeerimise võimalust </w:t>
      </w:r>
      <w:r w:rsidR="00281EEF">
        <w:t>praktikas</w:t>
      </w:r>
      <w:r w:rsidR="00DA5589">
        <w:t xml:space="preserve"> kasuta</w:t>
      </w:r>
      <w:r w:rsidR="00281EEF">
        <w:t>tud</w:t>
      </w:r>
      <w:r w:rsidR="00DA5589">
        <w:t xml:space="preserve">. </w:t>
      </w:r>
    </w:p>
    <w:p w14:paraId="50A9705D" w14:textId="320851D3" w:rsidR="009D64CD" w:rsidRDefault="00F93115" w:rsidP="00327E0E">
      <w:pPr>
        <w:pStyle w:val="Listtasand1"/>
      </w:pPr>
      <w:bookmarkStart w:id="7" w:name="_Toc229141291"/>
      <w:r>
        <w:t>Lahendusv</w:t>
      </w:r>
      <w:r w:rsidR="00B720D1">
        <w:t>ariandid</w:t>
      </w:r>
      <w:r w:rsidR="00C51321">
        <w:t xml:space="preserve"> Eesti</w:t>
      </w:r>
      <w:r w:rsidR="00885805">
        <w:t xml:space="preserve"> õiguses</w:t>
      </w:r>
      <w:bookmarkEnd w:id="7"/>
    </w:p>
    <w:p w14:paraId="46FCD4CF" w14:textId="49E8725E" w:rsidR="00444D74" w:rsidRDefault="00444D74" w:rsidP="005E54B6">
      <w:pPr>
        <w:pStyle w:val="Listtasand2"/>
      </w:pPr>
      <w:bookmarkStart w:id="8" w:name="_Toc229141292"/>
      <w:r>
        <w:t>Pädev asutus</w:t>
      </w:r>
      <w:bookmarkEnd w:id="8"/>
    </w:p>
    <w:p w14:paraId="055669D1" w14:textId="3D497AE7" w:rsidR="00A24C5B" w:rsidRDefault="00D97BA4" w:rsidP="00444D74">
      <w:pPr>
        <w:pStyle w:val="Listtasand3"/>
      </w:pPr>
      <w:r>
        <w:t>Tsiviilkohus</w:t>
      </w:r>
    </w:p>
    <w:p w14:paraId="5C2BAB29" w14:textId="5795DDAF" w:rsidR="00346F13" w:rsidRDefault="00FE6E06" w:rsidP="00B116DE">
      <w:pPr>
        <w:pStyle w:val="Listtasand4"/>
      </w:pPr>
      <w:r>
        <w:t xml:space="preserve">Paljudes EL LR-des on </w:t>
      </w:r>
      <w:r w:rsidR="007B634E">
        <w:t xml:space="preserve">tsiviilkohus </w:t>
      </w:r>
      <w:r w:rsidR="004504FF">
        <w:t xml:space="preserve">pädev </w:t>
      </w:r>
      <w:r w:rsidR="00A55CF6">
        <w:t xml:space="preserve">tegema otsuseid </w:t>
      </w:r>
      <w:r w:rsidR="004504FF">
        <w:t>veebisisu blokeerimiseks</w:t>
      </w:r>
      <w:r w:rsidR="00072BDD">
        <w:t xml:space="preserve">. </w:t>
      </w:r>
      <w:r w:rsidR="0041017E">
        <w:t>Osades</w:t>
      </w:r>
      <w:r w:rsidR="00274608">
        <w:t xml:space="preserve"> EL</w:t>
      </w:r>
      <w:r w:rsidR="0041017E">
        <w:t xml:space="preserve"> LR-des </w:t>
      </w:r>
      <w:r w:rsidR="00274608">
        <w:t>(nt Austria</w:t>
      </w:r>
      <w:r w:rsidR="00F87074">
        <w:rPr>
          <w:rStyle w:val="FootnoteReference"/>
        </w:rPr>
        <w:footnoteReference w:id="47"/>
      </w:r>
      <w:r w:rsidR="00274608">
        <w:t xml:space="preserve">) </w:t>
      </w:r>
      <w:r w:rsidR="0041017E">
        <w:t xml:space="preserve">pole </w:t>
      </w:r>
      <w:r w:rsidR="003935BC">
        <w:t xml:space="preserve">autoriõigusi rikkuva </w:t>
      </w:r>
      <w:r w:rsidR="00CD79F7">
        <w:t>veebisisu blokeerimiseks spetsiifilist korda ette nähtud</w:t>
      </w:r>
      <w:r w:rsidR="00AC71F4">
        <w:t xml:space="preserve"> ja </w:t>
      </w:r>
      <w:r w:rsidR="00AC71F4" w:rsidRPr="00AC71F4">
        <w:t>sarnaste tulemuste saavutamiseks tugine</w:t>
      </w:r>
      <w:r w:rsidR="00AC71F4">
        <w:t>takse</w:t>
      </w:r>
      <w:r w:rsidR="00AC71F4" w:rsidRPr="00AC71F4">
        <w:t xml:space="preserve"> üldisematele õigusnormidele</w:t>
      </w:r>
      <w:r w:rsidR="00CD79F7">
        <w:t xml:space="preserve">. </w:t>
      </w:r>
      <w:r w:rsidR="00372EBE">
        <w:t>Mitmetes</w:t>
      </w:r>
      <w:r w:rsidR="00AC71F4">
        <w:t xml:space="preserve"> EL LR-des </w:t>
      </w:r>
      <w:r w:rsidR="006D7F54">
        <w:t xml:space="preserve">on </w:t>
      </w:r>
      <w:r w:rsidR="00372EBE">
        <w:t>seaduses ette nähtud täpsustusi (</w:t>
      </w:r>
      <w:r w:rsidR="000B51BB">
        <w:t xml:space="preserve">nt </w:t>
      </w:r>
      <w:r w:rsidR="00372EBE">
        <w:t>Prantsusmaa</w:t>
      </w:r>
      <w:r w:rsidR="00372EBE">
        <w:rPr>
          <w:rStyle w:val="FootnoteReference"/>
        </w:rPr>
        <w:footnoteReference w:id="48"/>
      </w:r>
      <w:r w:rsidR="000B51BB">
        <w:t>, Soome</w:t>
      </w:r>
      <w:r w:rsidR="000B51BB">
        <w:rPr>
          <w:rStyle w:val="FootnoteReference"/>
        </w:rPr>
        <w:footnoteReference w:id="49"/>
      </w:r>
      <w:r w:rsidR="000E10E7">
        <w:t>, Belgia</w:t>
      </w:r>
      <w:r w:rsidR="000E10E7">
        <w:rPr>
          <w:rStyle w:val="FootnoteReference"/>
        </w:rPr>
        <w:footnoteReference w:id="50"/>
      </w:r>
      <w:r w:rsidR="00B320E5">
        <w:t>, Rootsi</w:t>
      </w:r>
      <w:r w:rsidR="00B320E5">
        <w:rPr>
          <w:rStyle w:val="FootnoteReference"/>
        </w:rPr>
        <w:footnoteReference w:id="51"/>
      </w:r>
      <w:r w:rsidR="00F363F3">
        <w:t>, Iirimaa</w:t>
      </w:r>
      <w:r w:rsidR="00F363F3">
        <w:rPr>
          <w:rStyle w:val="FootnoteReference"/>
        </w:rPr>
        <w:footnoteReference w:id="52"/>
      </w:r>
      <w:r w:rsidR="00372EBE">
        <w:t xml:space="preserve">). </w:t>
      </w:r>
      <w:r w:rsidR="00AD35A0">
        <w:t xml:space="preserve">Üldiselt </w:t>
      </w:r>
      <w:r w:rsidR="00292132">
        <w:t>nähakse sellistel juhtudel ette, et</w:t>
      </w:r>
      <w:r w:rsidR="00F44429">
        <w:rPr>
          <w:rStyle w:val="FootnoteReference"/>
        </w:rPr>
        <w:footnoteReference w:id="53"/>
      </w:r>
      <w:r w:rsidR="00292132">
        <w:t>:</w:t>
      </w:r>
    </w:p>
    <w:p w14:paraId="25BB16F4" w14:textId="5A0098A1" w:rsidR="00292132" w:rsidRDefault="00BF0BD2" w:rsidP="00292132">
      <w:pPr>
        <w:pStyle w:val="Listtasand5"/>
      </w:pPr>
      <w:r>
        <w:t xml:space="preserve">vajalik on </w:t>
      </w:r>
      <w:r w:rsidR="00292132">
        <w:t>tõendi</w:t>
      </w:r>
      <w:r>
        <w:t>te esitamine</w:t>
      </w:r>
      <w:r w:rsidR="00292132">
        <w:t xml:space="preserve"> väidetavalt rikutud õiguste </w:t>
      </w:r>
      <w:r w:rsidR="006D5DA1">
        <w:t xml:space="preserve">ja õiguste omaja staatuse </w:t>
      </w:r>
      <w:r w:rsidR="00292132">
        <w:t>kohta;</w:t>
      </w:r>
    </w:p>
    <w:p w14:paraId="156C438C" w14:textId="3C1F5132" w:rsidR="00292132" w:rsidRDefault="00292132" w:rsidP="00292132">
      <w:pPr>
        <w:pStyle w:val="Listtasand5"/>
      </w:pPr>
      <w:r>
        <w:t>ettekirjutus on suunatud teenusepakkujale, kes rikub õigusi ja/või kelle teenuseid kasutatakse rikkumiseks, mis eeldab ka väidetava rikkumise kohta tõendite esitamist;</w:t>
      </w:r>
    </w:p>
    <w:p w14:paraId="53AAA426" w14:textId="4720E900" w:rsidR="00292132" w:rsidRDefault="00292132" w:rsidP="00292132">
      <w:pPr>
        <w:pStyle w:val="Listtasand5"/>
      </w:pPr>
      <w:r>
        <w:t xml:space="preserve">taotletud blokeeriv ettekirjutus </w:t>
      </w:r>
      <w:r w:rsidR="00F44429">
        <w:t>peab olema</w:t>
      </w:r>
      <w:r>
        <w:t xml:space="preserve"> proportsionaalne, asjakohane, vajalik ja mõistlik.</w:t>
      </w:r>
    </w:p>
    <w:p w14:paraId="7F3E3751" w14:textId="1DF3A9B0" w:rsidR="0074597E" w:rsidRDefault="00A754AA" w:rsidP="00B116DE">
      <w:pPr>
        <w:pStyle w:val="Listtasand4"/>
      </w:pPr>
      <w:r>
        <w:t>Kui kaasata o</w:t>
      </w:r>
      <w:r w:rsidR="003B475C">
        <w:t>tsuste jõustami</w:t>
      </w:r>
      <w:r>
        <w:t>sse</w:t>
      </w:r>
      <w:r w:rsidR="003B475C">
        <w:t xml:space="preserve"> TTJA</w:t>
      </w:r>
      <w:r>
        <w:t>-d</w:t>
      </w:r>
      <w:r w:rsidR="003B475C">
        <w:t xml:space="preserve"> või muu</w:t>
      </w:r>
      <w:r>
        <w:t>d</w:t>
      </w:r>
      <w:r w:rsidR="003B475C">
        <w:t xml:space="preserve"> asutus</w:t>
      </w:r>
      <w:r>
        <w:t>t</w:t>
      </w:r>
      <w:r w:rsidR="00072782">
        <w:t xml:space="preserve">, </w:t>
      </w:r>
      <w:r w:rsidR="0074597E">
        <w:t xml:space="preserve">on mõeldav süsteem, kus kohus annab ettekirjutuse vastavalt ettenähtud korrale ja edastab selle </w:t>
      </w:r>
      <w:r w:rsidR="00BD2A3B">
        <w:t xml:space="preserve">pädevale </w:t>
      </w:r>
      <w:r w:rsidR="009B1ED1">
        <w:t>asutusele</w:t>
      </w:r>
      <w:r w:rsidR="00BD2A3B">
        <w:t xml:space="preserve"> (nt TTJA)</w:t>
      </w:r>
      <w:r w:rsidR="009B1ED1">
        <w:t xml:space="preserve">, kes koordineerib otsuse </w:t>
      </w:r>
      <w:r w:rsidR="0074597E">
        <w:t>jõustamis</w:t>
      </w:r>
      <w:r w:rsidR="009B1ED1">
        <w:t>t</w:t>
      </w:r>
      <w:r w:rsidR="004F061C">
        <w:t xml:space="preserve"> (</w:t>
      </w:r>
      <w:r w:rsidR="0059203F">
        <w:t xml:space="preserve">sarnane süsteem on </w:t>
      </w:r>
      <w:r w:rsidR="006A49C6">
        <w:t>Madalmaad</w:t>
      </w:r>
      <w:r w:rsidR="0059203F">
        <w:t>es</w:t>
      </w:r>
      <w:r w:rsidR="006A49C6">
        <w:t>, Taani</w:t>
      </w:r>
      <w:r w:rsidR="0059203F">
        <w:t>s</w:t>
      </w:r>
      <w:r w:rsidR="00D9102F">
        <w:t xml:space="preserve">, </w:t>
      </w:r>
      <w:r w:rsidR="006A49C6">
        <w:t>Saksamaa</w:t>
      </w:r>
      <w:r w:rsidR="0059203F">
        <w:t>l</w:t>
      </w:r>
      <w:r w:rsidR="004F061C">
        <w:t>)</w:t>
      </w:r>
      <w:r w:rsidR="0074597E">
        <w:t xml:space="preserve">. </w:t>
      </w:r>
      <w:r w:rsidR="001A4864">
        <w:t>Pädev</w:t>
      </w:r>
      <w:r w:rsidR="00BD2A3B">
        <w:t xml:space="preserve"> </w:t>
      </w:r>
      <w:r w:rsidR="00D87979">
        <w:t xml:space="preserve">asutus edastab </w:t>
      </w:r>
      <w:r w:rsidR="006B15D3">
        <w:t>blokeerimisotsuse</w:t>
      </w:r>
      <w:r w:rsidR="00D87979">
        <w:t xml:space="preserve"> omakorda ISP-</w:t>
      </w:r>
      <w:proofErr w:type="spellStart"/>
      <w:r w:rsidR="00D87979">
        <w:t>dele</w:t>
      </w:r>
      <w:proofErr w:type="spellEnd"/>
      <w:r w:rsidR="00D87979">
        <w:t xml:space="preserve"> ja kontrollib </w:t>
      </w:r>
      <w:r w:rsidR="001C20F3">
        <w:t>ettekirjutuse</w:t>
      </w:r>
      <w:r w:rsidR="00D87979">
        <w:t xml:space="preserve"> järgimist. </w:t>
      </w:r>
      <w:r w:rsidR="001C20F3">
        <w:t xml:space="preserve">Kui ilmneb, et </w:t>
      </w:r>
      <w:r w:rsidR="001A4864">
        <w:t xml:space="preserve">pärast kohtuotsuse tegemist on </w:t>
      </w:r>
      <w:r w:rsidR="001C20F3">
        <w:t xml:space="preserve">sisu tehtud </w:t>
      </w:r>
      <w:r w:rsidR="00951233">
        <w:t xml:space="preserve">uuesti </w:t>
      </w:r>
      <w:r w:rsidR="001C20F3">
        <w:t>kättesaadavaks</w:t>
      </w:r>
      <w:r w:rsidR="001A4864">
        <w:t xml:space="preserve"> nt</w:t>
      </w:r>
      <w:r w:rsidR="001C20F3">
        <w:t xml:space="preserve"> </w:t>
      </w:r>
      <w:proofErr w:type="spellStart"/>
      <w:r w:rsidR="00951233" w:rsidRPr="00611B4D">
        <w:rPr>
          <w:i/>
          <w:iCs/>
        </w:rPr>
        <w:t>mirror</w:t>
      </w:r>
      <w:proofErr w:type="spellEnd"/>
      <w:r w:rsidR="00951233">
        <w:t>-veebileh</w:t>
      </w:r>
      <w:r w:rsidR="001A4864">
        <w:t>tede kaudu</w:t>
      </w:r>
      <w:r w:rsidR="00951233">
        <w:t xml:space="preserve">, võib </w:t>
      </w:r>
      <w:r w:rsidR="001A4864">
        <w:t>pädev</w:t>
      </w:r>
      <w:r w:rsidR="00951233">
        <w:t xml:space="preserve"> asutus poole taotlusel ettekirjutus</w:t>
      </w:r>
      <w:r w:rsidR="001A4864">
        <w:t>t</w:t>
      </w:r>
      <w:r w:rsidR="00883BC7" w:rsidRPr="00883BC7">
        <w:t xml:space="preserve"> </w:t>
      </w:r>
      <w:r w:rsidR="00883BC7">
        <w:t>laiendada</w:t>
      </w:r>
      <w:r w:rsidR="0081627D">
        <w:t xml:space="preserve">, muutes </w:t>
      </w:r>
      <w:r w:rsidR="00883BC7">
        <w:t>selle</w:t>
      </w:r>
      <w:r w:rsidR="00951233">
        <w:t xml:space="preserve"> dünaamiliseks</w:t>
      </w:r>
      <w:r w:rsidR="00611B4D">
        <w:t>.</w:t>
      </w:r>
    </w:p>
    <w:p w14:paraId="72124914" w14:textId="08BD3952" w:rsidR="00D97BA4" w:rsidRDefault="00D97BA4" w:rsidP="00444D74">
      <w:pPr>
        <w:pStyle w:val="Listtasand3"/>
      </w:pPr>
      <w:r>
        <w:t>Haldusorgan</w:t>
      </w:r>
    </w:p>
    <w:p w14:paraId="4B8858B4" w14:textId="0A83DA36" w:rsidR="00CB365C" w:rsidRDefault="00703C9C" w:rsidP="00444D74">
      <w:pPr>
        <w:pStyle w:val="Listtasand4"/>
      </w:pPr>
      <w:r>
        <w:t xml:space="preserve">Kui </w:t>
      </w:r>
      <w:r w:rsidR="000F0B07">
        <w:t>haldusorgan on pädev andma ettekirjutusi, tekib küsimus</w:t>
      </w:r>
      <w:r w:rsidR="00872E13">
        <w:t xml:space="preserve">, kas </w:t>
      </w:r>
      <w:r w:rsidR="001E0066">
        <w:t xml:space="preserve">ettekirjutust </w:t>
      </w:r>
      <w:r w:rsidR="00B90540">
        <w:t xml:space="preserve">saab </w:t>
      </w:r>
      <w:r w:rsidR="001E0066">
        <w:t xml:space="preserve">edasi kaevata, millisele asutusele ja millise menetluse järgi. </w:t>
      </w:r>
      <w:r w:rsidR="0032363B">
        <w:t>Kui haldusorgan</w:t>
      </w:r>
      <w:r w:rsidR="002C4051">
        <w:t xml:space="preserve"> annab ettekirjutuse ja see</w:t>
      </w:r>
      <w:r w:rsidR="0032363B">
        <w:t xml:space="preserve"> on vaidlustatav halduskohtus,</w:t>
      </w:r>
      <w:r w:rsidR="001B5074">
        <w:t xml:space="preserve"> piirdu</w:t>
      </w:r>
      <w:r w:rsidR="00277189">
        <w:t>ks Eestis</w:t>
      </w:r>
      <w:r w:rsidR="001B5074">
        <w:t xml:space="preserve"> halduskohus</w:t>
      </w:r>
      <w:r w:rsidR="00541053">
        <w:t xml:space="preserve"> (tõenäoliselt) ettekirjutuse kui</w:t>
      </w:r>
      <w:r w:rsidR="001B5074">
        <w:t xml:space="preserve"> </w:t>
      </w:r>
      <w:r w:rsidR="00541053">
        <w:t xml:space="preserve">haldusakti õiguspärasuse hindamisega. Kohus </w:t>
      </w:r>
      <w:r w:rsidR="0032363B">
        <w:t xml:space="preserve">ei saa </w:t>
      </w:r>
      <w:r w:rsidR="00541053">
        <w:t xml:space="preserve">selliselt </w:t>
      </w:r>
      <w:r w:rsidR="0032363B">
        <w:t xml:space="preserve">vaidlusalust </w:t>
      </w:r>
      <w:r w:rsidR="00BE7E02">
        <w:t xml:space="preserve">ainuõiguste </w:t>
      </w:r>
      <w:r w:rsidR="0032363B">
        <w:t xml:space="preserve">rikkumist </w:t>
      </w:r>
      <w:r w:rsidR="00BE7E02">
        <w:t>ise hinnata</w:t>
      </w:r>
      <w:r w:rsidR="000049B1">
        <w:t xml:space="preserve"> ega </w:t>
      </w:r>
      <w:r w:rsidR="0032363B">
        <w:t>teostada kaalutlusõigust haldusorgani eest.</w:t>
      </w:r>
      <w:r w:rsidR="006207A4">
        <w:rPr>
          <w:rStyle w:val="FootnoteReference"/>
        </w:rPr>
        <w:footnoteReference w:id="54"/>
      </w:r>
    </w:p>
    <w:p w14:paraId="15E2102D" w14:textId="4897B2DD" w:rsidR="00B42040" w:rsidRDefault="005F366E" w:rsidP="00444D74">
      <w:pPr>
        <w:pStyle w:val="Listtasand4"/>
      </w:pPr>
      <w:r>
        <w:t xml:space="preserve">Kuna </w:t>
      </w:r>
      <w:r w:rsidR="003D0F67">
        <w:t xml:space="preserve">ettekirjutuse </w:t>
      </w:r>
      <w:r>
        <w:t>tegemi</w:t>
      </w:r>
      <w:r w:rsidR="003D0F67">
        <w:t>ne</w:t>
      </w:r>
      <w:r>
        <w:t xml:space="preserve"> oleks haldusorgani kaalutlusotsus, määrab HKMS § 158 lg 3 </w:t>
      </w:r>
      <w:r w:rsidR="00B17A48">
        <w:t>kohtuliku kontrolli piirid. K</w:t>
      </w:r>
      <w:r w:rsidR="00B17A48" w:rsidRPr="00B17A48">
        <w:t xml:space="preserve">ohus </w:t>
      </w:r>
      <w:r w:rsidR="00B17A48">
        <w:t xml:space="preserve">kontrollib </w:t>
      </w:r>
      <w:r w:rsidR="00B17A48" w:rsidRPr="00B17A48">
        <w:t>kaalutlusõiguse piiride ja eesmärgi ning muude kaalutlusreeglite järgimist haldusorgani poolt</w:t>
      </w:r>
      <w:r w:rsidR="00B17A48">
        <w:t xml:space="preserve">. Samas ei </w:t>
      </w:r>
      <w:r w:rsidR="00840CC8" w:rsidRPr="00840CC8">
        <w:t xml:space="preserve">teosta </w:t>
      </w:r>
      <w:r w:rsidR="00840CC8">
        <w:t xml:space="preserve">kohus </w:t>
      </w:r>
      <w:r w:rsidR="00840CC8" w:rsidRPr="00840CC8">
        <w:t>haldusorgani eest kaalutlusõigust haldusakti või toimingu õiguspärasust hinnates</w:t>
      </w:r>
      <w:r w:rsidR="00F11D29">
        <w:t>.</w:t>
      </w:r>
      <w:r w:rsidR="00493D43">
        <w:rPr>
          <w:rStyle w:val="FootnoteReference"/>
        </w:rPr>
        <w:footnoteReference w:id="55"/>
      </w:r>
      <w:r w:rsidR="00574034">
        <w:t xml:space="preserve"> </w:t>
      </w:r>
    </w:p>
    <w:p w14:paraId="46D22845" w14:textId="714CEB17" w:rsidR="005F6804" w:rsidRDefault="007029D0" w:rsidP="00393AB9">
      <w:pPr>
        <w:pStyle w:val="Listtasand4"/>
      </w:pPr>
      <w:r>
        <w:t>Leedus ja Hispaanias on kasutusel süsteem, kus haldusorgan küsib kohtult luba ettekirjutuse tegemiseks</w:t>
      </w:r>
      <w:r w:rsidR="00682FEB">
        <w:t>, Kreekas ja Itaalias pole haldusorganil ettekirjutuse andmiseks kohtu luba vaja</w:t>
      </w:r>
      <w:r>
        <w:t>.</w:t>
      </w:r>
      <w:r w:rsidR="00664FD4">
        <w:t xml:space="preserve"> </w:t>
      </w:r>
      <w:r w:rsidR="00703EDF">
        <w:t xml:space="preserve">Kohtu kaasamine </w:t>
      </w:r>
      <w:r w:rsidR="00432B6C">
        <w:t>menetlusse (Leedu ja Hispaania lahendus) võiks kaasa aidata proportsionaalsuse tagamisele, kuna iga blokeerimismeede kehtestamisele eelne</w:t>
      </w:r>
      <w:r w:rsidR="00A20C65">
        <w:t>ks</w:t>
      </w:r>
      <w:r w:rsidR="00432B6C">
        <w:t xml:space="preserve"> kohtulik kontroll</w:t>
      </w:r>
      <w:r w:rsidR="005F6804">
        <w:t>.</w:t>
      </w:r>
      <w:r w:rsidR="00432B6C">
        <w:t xml:space="preserve"> </w:t>
      </w:r>
      <w:r w:rsidR="001B72ED">
        <w:t xml:space="preserve">Samas võib </w:t>
      </w:r>
      <w:r w:rsidR="00D26C33">
        <w:t xml:space="preserve">taoline kord, kus ettekirjutuse andmine eeldab kohtu luba, </w:t>
      </w:r>
      <w:r w:rsidR="001B72ED">
        <w:t>veni</w:t>
      </w:r>
      <w:r w:rsidR="00D26C33">
        <w:t xml:space="preserve">tada </w:t>
      </w:r>
      <w:r w:rsidR="00393AB9">
        <w:t>pikemaks ettekirjutuse andmise protsessi ja õigusi rikkuv sisu püsib veebilehel kauem kättesaadavana. Samuti suurendab see kohtute koormust</w:t>
      </w:r>
      <w:r w:rsidR="00161F36">
        <w:t xml:space="preserve">, kuivõrd (eelduslikult Tallinna Halduskohus) </w:t>
      </w:r>
      <w:r w:rsidR="005F43E2">
        <w:t xml:space="preserve">peaks </w:t>
      </w:r>
      <w:r w:rsidR="00975B02">
        <w:t xml:space="preserve">läbi vaatama haldusorganilt saadud </w:t>
      </w:r>
      <w:r w:rsidR="005F43E2">
        <w:t>taotluseid</w:t>
      </w:r>
      <w:r w:rsidR="00393AB9">
        <w:t xml:space="preserve">. </w:t>
      </w:r>
    </w:p>
    <w:p w14:paraId="269E499E" w14:textId="64BA95F0" w:rsidR="00CB29A5" w:rsidRDefault="006901CC" w:rsidP="00444D74">
      <w:pPr>
        <w:pStyle w:val="Listtasand4"/>
      </w:pPr>
      <w:r w:rsidRPr="006901CC">
        <w:t xml:space="preserve">Võimalik, et kohtulik kontroll </w:t>
      </w:r>
      <w:r>
        <w:t xml:space="preserve">ja proportsionaalsuse põhimõtte järgimine </w:t>
      </w:r>
      <w:r w:rsidRPr="006901CC">
        <w:t xml:space="preserve">on tagatud </w:t>
      </w:r>
      <w:r w:rsidR="002A571A">
        <w:t xml:space="preserve">ka </w:t>
      </w:r>
      <w:r w:rsidR="00AD7931">
        <w:t>juhul</w:t>
      </w:r>
      <w:r w:rsidRPr="006901CC">
        <w:t xml:space="preserve">, </w:t>
      </w:r>
      <w:r>
        <w:t>ku</w:t>
      </w:r>
      <w:r w:rsidR="002A571A">
        <w:t>s</w:t>
      </w:r>
      <w:r>
        <w:t xml:space="preserve"> </w:t>
      </w:r>
      <w:r w:rsidR="00975B02">
        <w:t xml:space="preserve">nt </w:t>
      </w:r>
      <w:r>
        <w:t>TTJA-l pole ettekirjutuse andmiseks kohtu sekkumist vaja,</w:t>
      </w:r>
      <w:r w:rsidRPr="006901CC">
        <w:t xml:space="preserve"> </w:t>
      </w:r>
      <w:r w:rsidR="002A571A">
        <w:t xml:space="preserve">kuid </w:t>
      </w:r>
      <w:r w:rsidRPr="006901CC">
        <w:t xml:space="preserve">menetlusosaline </w:t>
      </w:r>
      <w:r w:rsidR="002A571A">
        <w:t xml:space="preserve">ja </w:t>
      </w:r>
      <w:r w:rsidRPr="006901CC">
        <w:t>iga isik, kelle õigusi ettekirjutus piirab, saavad vajadusel pöörduda halduskohtusse</w:t>
      </w:r>
      <w:r w:rsidR="006510C7">
        <w:t xml:space="preserve"> (vrd Itaalia, Kreeka, Läti mudeleid)</w:t>
      </w:r>
      <w:r w:rsidR="002A571A">
        <w:t>.</w:t>
      </w:r>
      <w:r w:rsidRPr="006901CC">
        <w:t xml:space="preserve"> </w:t>
      </w:r>
      <w:r w:rsidR="002A571A">
        <w:t>V</w:t>
      </w:r>
      <w:r w:rsidRPr="006901CC">
        <w:t>õimalus on taotleda ka esialgse õiguskaitse rakendamist ettekirjutuse mõju peatamiseks.</w:t>
      </w:r>
      <w:r>
        <w:t xml:space="preserve"> </w:t>
      </w:r>
      <w:r w:rsidR="002E5989">
        <w:t xml:space="preserve">Kui Eesti õiguses oleks haldusorganil pädevus ettekirjutuste </w:t>
      </w:r>
      <w:r w:rsidR="006510C7">
        <w:t xml:space="preserve">andmiseks </w:t>
      </w:r>
      <w:r w:rsidR="002E5989">
        <w:t xml:space="preserve">(kohtu sekkumiseta), peaks seaduses olema sätestatud piisavalt selgelt ettekirjutuse </w:t>
      </w:r>
      <w:r w:rsidR="006510C7">
        <w:t xml:space="preserve">andmise </w:t>
      </w:r>
      <w:r w:rsidR="002E5989">
        <w:t>alused ja tingimused ning kaalutlusruumi ulatus.</w:t>
      </w:r>
      <w:r w:rsidR="002E5989">
        <w:rPr>
          <w:rStyle w:val="FootnoteReference"/>
        </w:rPr>
        <w:footnoteReference w:id="56"/>
      </w:r>
      <w:r w:rsidR="002E5989">
        <w:t xml:space="preserve"> </w:t>
      </w:r>
      <w:r w:rsidR="0000090A">
        <w:t>A</w:t>
      </w:r>
      <w:r w:rsidR="00CB29A5">
        <w:t>rvestades proportsionaalsuse olulist ettekirjutuste andmisel</w:t>
      </w:r>
      <w:r w:rsidR="0000090A">
        <w:t xml:space="preserve"> saaks</w:t>
      </w:r>
      <w:r w:rsidR="005F6804">
        <w:t xml:space="preserve"> </w:t>
      </w:r>
      <w:r w:rsidR="000168C0">
        <w:t xml:space="preserve">piisava detailsuse astmega </w:t>
      </w:r>
      <w:r w:rsidR="0000090A">
        <w:t xml:space="preserve">kaalutlusruumi piirid </w:t>
      </w:r>
      <w:r w:rsidR="000168C0">
        <w:t xml:space="preserve">ette </w:t>
      </w:r>
      <w:r w:rsidR="00664FD4">
        <w:t>näha</w:t>
      </w:r>
      <w:r w:rsidR="00CB29A5">
        <w:t xml:space="preserve"> </w:t>
      </w:r>
      <w:r w:rsidR="0000090A">
        <w:t>loetelu</w:t>
      </w:r>
      <w:r w:rsidR="006E26CD">
        <w:t xml:space="preserve">ga, millest peab haldusorgan ettekirjutust andes </w:t>
      </w:r>
      <w:r w:rsidR="00FB07DC">
        <w:t>igal juhul lähtuma</w:t>
      </w:r>
      <w:r w:rsidR="00887277">
        <w:t>, näiteks</w:t>
      </w:r>
      <w:r w:rsidR="001E0095">
        <w:rPr>
          <w:rStyle w:val="FootnoteReference"/>
        </w:rPr>
        <w:footnoteReference w:id="57"/>
      </w:r>
      <w:r w:rsidR="000168C0">
        <w:t>:</w:t>
      </w:r>
    </w:p>
    <w:p w14:paraId="540C74AD" w14:textId="58CEB8FC" w:rsidR="000168C0" w:rsidRDefault="00363090" w:rsidP="00E337DB">
      <w:pPr>
        <w:pStyle w:val="Listtasand5"/>
      </w:pPr>
      <w:r>
        <w:t>Milline on õ</w:t>
      </w:r>
      <w:r w:rsidR="00425056">
        <w:t xml:space="preserve">iguste objektide </w:t>
      </w:r>
      <w:r w:rsidR="00594350">
        <w:t>hulk</w:t>
      </w:r>
      <w:r w:rsidR="00425056">
        <w:t xml:space="preserve">, mida eeldatavasti tehakse kasutajatele </w:t>
      </w:r>
      <w:r>
        <w:t xml:space="preserve">ebaseaduslikult </w:t>
      </w:r>
      <w:r w:rsidR="00425056">
        <w:t>kättesaadavaks</w:t>
      </w:r>
      <w:r w:rsidR="00887277">
        <w:t>?</w:t>
      </w:r>
    </w:p>
    <w:p w14:paraId="652ECB50" w14:textId="22548D39" w:rsidR="000877A3" w:rsidRDefault="000877A3" w:rsidP="00E337DB">
      <w:pPr>
        <w:pStyle w:val="Listtasand5"/>
      </w:pPr>
      <w:r>
        <w:t xml:space="preserve">Kas veebileht </w:t>
      </w:r>
      <w:r w:rsidRPr="000877A3">
        <w:t xml:space="preserve">on loodud </w:t>
      </w:r>
      <w:r>
        <w:t xml:space="preserve">eesmärgiga </w:t>
      </w:r>
      <w:r w:rsidRPr="000877A3">
        <w:t>ebaseadusliku</w:t>
      </w:r>
      <w:r>
        <w:t>lt õiguste objekte</w:t>
      </w:r>
      <w:r w:rsidR="006A01C9" w:rsidRPr="006A01C9">
        <w:t xml:space="preserve"> </w:t>
      </w:r>
      <w:r w:rsidR="006A01C9">
        <w:t>levitada</w:t>
      </w:r>
      <w:r w:rsidR="00887277">
        <w:t>?</w:t>
      </w:r>
    </w:p>
    <w:p w14:paraId="31B05092" w14:textId="2DB74986" w:rsidR="00FF064C" w:rsidRDefault="00363090" w:rsidP="00E337DB">
      <w:pPr>
        <w:pStyle w:val="Listtasand5"/>
      </w:pPr>
      <w:r>
        <w:t>Milline on r</w:t>
      </w:r>
      <w:r w:rsidR="00FF064C" w:rsidRPr="00FF064C">
        <w:t>ikutud õiguste majanduslik väärtus ja väidetava rikkumisega tekitatud kahju ulatus</w:t>
      </w:r>
      <w:r w:rsidR="00887277">
        <w:t>?</w:t>
      </w:r>
    </w:p>
    <w:p w14:paraId="6E57D8D7" w14:textId="0175BDD4" w:rsidR="00FF064C" w:rsidRDefault="009A0FB5" w:rsidP="00E337DB">
      <w:pPr>
        <w:pStyle w:val="Listtasand5"/>
      </w:pPr>
      <w:r>
        <w:t xml:space="preserve">Kas veebilehel otseselt või kaudselt julgustatakse kasutajat </w:t>
      </w:r>
      <w:r w:rsidRPr="009A0FB5">
        <w:t xml:space="preserve">ebaseaduslikult kättesaadavaks </w:t>
      </w:r>
      <w:r>
        <w:t>tehtud õiguste objekte kasutama</w:t>
      </w:r>
      <w:r w:rsidR="00887277">
        <w:t>?</w:t>
      </w:r>
    </w:p>
    <w:p w14:paraId="553AA014" w14:textId="266B4EF8" w:rsidR="00276CE5" w:rsidRDefault="00276CE5" w:rsidP="00E337DB">
      <w:pPr>
        <w:pStyle w:val="Listtasand5"/>
      </w:pPr>
      <w:r>
        <w:t xml:space="preserve">Kas veebilehe haldaja on võtnud </w:t>
      </w:r>
      <w:r w:rsidR="006A01C9">
        <w:t xml:space="preserve">(nt õiguste omaja taotlusel) </w:t>
      </w:r>
      <w:r>
        <w:t>meetmeid</w:t>
      </w:r>
      <w:r w:rsidR="006A01C9">
        <w:t xml:space="preserve"> </w:t>
      </w:r>
      <w:r w:rsidR="001B3DE7" w:rsidRPr="001B3DE7">
        <w:t>ebaseaduslikult kättesaadavaks tehtud õiguste objekt</w:t>
      </w:r>
      <w:r w:rsidR="001B3DE7">
        <w:t>ide eemaldamiseks</w:t>
      </w:r>
      <w:r w:rsidR="00887277">
        <w:t>?</w:t>
      </w:r>
    </w:p>
    <w:p w14:paraId="222BF23F" w14:textId="7B919F5A" w:rsidR="002E2D4B" w:rsidRDefault="004D2AED" w:rsidP="00E337DB">
      <w:pPr>
        <w:pStyle w:val="Listtasand5"/>
      </w:pPr>
      <w:r>
        <w:t>Kas</w:t>
      </w:r>
      <w:r w:rsidR="00DC7117">
        <w:t xml:space="preserve"> kasutajale edastatakse </w:t>
      </w:r>
      <w:r w:rsidR="002E2D4B" w:rsidRPr="002E2D4B">
        <w:t>eksitav</w:t>
      </w:r>
      <w:r>
        <w:t>a</w:t>
      </w:r>
      <w:r w:rsidR="00DC7117">
        <w:t>id</w:t>
      </w:r>
      <w:r>
        <w:t xml:space="preserve"> sõnum</w:t>
      </w:r>
      <w:r w:rsidR="00DC7117">
        <w:t>eid</w:t>
      </w:r>
      <w:r w:rsidR="002E2D4B" w:rsidRPr="002E2D4B">
        <w:t xml:space="preserve">, näiteks </w:t>
      </w:r>
      <w:r>
        <w:t>pannes</w:t>
      </w:r>
      <w:r w:rsidR="002E2D4B" w:rsidRPr="002E2D4B">
        <w:t xml:space="preserve"> kasutaja ekslikult uskuma, et tegemist on seadusliku tegevusega</w:t>
      </w:r>
      <w:r w:rsidR="00887277">
        <w:t>?</w:t>
      </w:r>
    </w:p>
    <w:p w14:paraId="623C4E65" w14:textId="06EE6E9D" w:rsidR="004D2AED" w:rsidRDefault="001C5E4B" w:rsidP="00E337DB">
      <w:pPr>
        <w:pStyle w:val="Listtasand5"/>
      </w:pPr>
      <w:r>
        <w:t>Kas t</w:t>
      </w:r>
      <w:r w:rsidR="001D57B6">
        <w:t>egevuse</w:t>
      </w:r>
      <w:r>
        <w:t>l on</w:t>
      </w:r>
      <w:r w:rsidR="001D57B6" w:rsidRPr="001D57B6">
        <w:t xml:space="preserve"> kasumit taotlev eesmärk</w:t>
      </w:r>
      <w:r>
        <w:t xml:space="preserve">, nt sisaldab </w:t>
      </w:r>
      <w:r w:rsidR="00887277">
        <w:t xml:space="preserve">veebileht </w:t>
      </w:r>
      <w:r>
        <w:t xml:space="preserve">reklaame, osa sisust levitatakse tasu eest, kasutajatel on </w:t>
      </w:r>
      <w:r w:rsidR="00232E0F">
        <w:t>võimalik saada tasulise tellimusega lisaõigusi</w:t>
      </w:r>
      <w:r w:rsidR="00887277">
        <w:t>?</w:t>
      </w:r>
    </w:p>
    <w:p w14:paraId="351AFD53" w14:textId="7CE123CC" w:rsidR="00ED6868" w:rsidRDefault="00ED6868" w:rsidP="000935B3">
      <w:pPr>
        <w:pStyle w:val="Listtasand4"/>
      </w:pPr>
      <w:r>
        <w:t>Kaalutlusruumi piiride ette nägemine oleks</w:t>
      </w:r>
      <w:r w:rsidR="002812F9">
        <w:t xml:space="preserve"> vajalik</w:t>
      </w:r>
      <w:r>
        <w:t xml:space="preserve"> </w:t>
      </w:r>
      <w:r w:rsidR="002812F9">
        <w:t xml:space="preserve">muuhulgas proportsionaalsuse tagamiseks. </w:t>
      </w:r>
      <w:r w:rsidR="002812F9" w:rsidRPr="002812F9">
        <w:t xml:space="preserve">Tuleb eristada, </w:t>
      </w:r>
      <w:r w:rsidR="002C5FBC">
        <w:t>et osad</w:t>
      </w:r>
      <w:r w:rsidR="002812F9" w:rsidRPr="002812F9">
        <w:t xml:space="preserve"> veebi</w:t>
      </w:r>
      <w:r w:rsidR="00E00542">
        <w:t>lehed</w:t>
      </w:r>
      <w:r w:rsidR="002812F9" w:rsidRPr="002812F9">
        <w:t xml:space="preserve"> on</w:t>
      </w:r>
      <w:r w:rsidR="002C5FBC">
        <w:t>gi</w:t>
      </w:r>
      <w:r w:rsidR="002812F9" w:rsidRPr="002812F9">
        <w:t xml:space="preserve"> suunatud </w:t>
      </w:r>
      <w:r w:rsidR="002C5FBC">
        <w:t xml:space="preserve">suure hulga </w:t>
      </w:r>
      <w:r w:rsidR="002812F9" w:rsidRPr="002812F9">
        <w:t xml:space="preserve">teoste loata kättesaadavaks tegemisele (n-ö </w:t>
      </w:r>
      <w:r w:rsidR="00E00542">
        <w:t>veebipiraatlus</w:t>
      </w:r>
      <w:r w:rsidR="002812F9" w:rsidRPr="002812F9">
        <w:t>)</w:t>
      </w:r>
      <w:r w:rsidR="001F0B58">
        <w:t>.</w:t>
      </w:r>
      <w:r w:rsidR="002C5FBC">
        <w:t xml:space="preserve"> </w:t>
      </w:r>
      <w:r w:rsidR="001F0B58">
        <w:t>S</w:t>
      </w:r>
      <w:r w:rsidR="002C5FBC">
        <w:t>amas on palju teisi</w:t>
      </w:r>
      <w:r w:rsidR="002812F9" w:rsidRPr="002812F9">
        <w:t xml:space="preserve"> </w:t>
      </w:r>
      <w:r w:rsidR="002C5FBC">
        <w:t xml:space="preserve">veebilehti, kus </w:t>
      </w:r>
      <w:r w:rsidR="00305C67">
        <w:t xml:space="preserve">on </w:t>
      </w:r>
      <w:r w:rsidR="002812F9" w:rsidRPr="002812F9">
        <w:t xml:space="preserve">muidu seadusliku sisuga teenused, </w:t>
      </w:r>
      <w:r w:rsidR="00305C67">
        <w:t xml:space="preserve">aga </w:t>
      </w:r>
      <w:r w:rsidR="002812F9" w:rsidRPr="002812F9">
        <w:t>ku</w:t>
      </w:r>
      <w:r w:rsidR="00305C67">
        <w:t>hu</w:t>
      </w:r>
      <w:r w:rsidR="002812F9" w:rsidRPr="002812F9">
        <w:t xml:space="preserve"> </w:t>
      </w:r>
      <w:r w:rsidR="00E00542">
        <w:t xml:space="preserve">satuvad juhuti </w:t>
      </w:r>
      <w:r w:rsidR="002812F9" w:rsidRPr="002812F9">
        <w:t>teose</w:t>
      </w:r>
      <w:r w:rsidR="00E00542">
        <w:t>d</w:t>
      </w:r>
      <w:r w:rsidR="001F0B58">
        <w:t>, mis on kättesaadavaks tehtud</w:t>
      </w:r>
      <w:r w:rsidR="002812F9" w:rsidRPr="002812F9">
        <w:t xml:space="preserve"> </w:t>
      </w:r>
      <w:r w:rsidR="001F0B58">
        <w:t xml:space="preserve">õiguste omaja </w:t>
      </w:r>
      <w:r w:rsidR="002812F9" w:rsidRPr="002812F9">
        <w:t xml:space="preserve">loata. Viimase olukorra puhul </w:t>
      </w:r>
      <w:r w:rsidR="00473675">
        <w:t>ei pruugi terve veebilehe blokeerimine olla proportsionaalne</w:t>
      </w:r>
      <w:r w:rsidR="009E38BA">
        <w:t xml:space="preserve"> meede rikkumise peatamiseks</w:t>
      </w:r>
      <w:r w:rsidR="00473675">
        <w:t xml:space="preserve">. </w:t>
      </w:r>
      <w:r w:rsidR="007E303A">
        <w:t>B</w:t>
      </w:r>
      <w:r w:rsidR="00710199">
        <w:t xml:space="preserve">lokeerimismeetmete lubatavuse eeltingimus </w:t>
      </w:r>
      <w:r w:rsidR="007E303A">
        <w:t xml:space="preserve">peaks </w:t>
      </w:r>
      <w:r w:rsidR="009E38BA">
        <w:t>olema</w:t>
      </w:r>
      <w:r w:rsidR="00710199">
        <w:t xml:space="preserve">, et </w:t>
      </w:r>
      <w:r w:rsidR="00562683">
        <w:t>veebilehel tehakse kasutajatele teosed kättesaadavaks suures hulgas, süstemaatiliselt</w:t>
      </w:r>
      <w:r w:rsidR="009E38BA">
        <w:t xml:space="preserve">, </w:t>
      </w:r>
      <w:r w:rsidR="00562683">
        <w:t>sihilikult vms.</w:t>
      </w:r>
      <w:r w:rsidR="00710199">
        <w:t xml:space="preserve"> </w:t>
      </w:r>
      <w:r w:rsidR="00892268">
        <w:t xml:space="preserve">Seeläbi saab </w:t>
      </w:r>
      <w:r w:rsidR="005D08BE">
        <w:t xml:space="preserve">ettekirjutusi </w:t>
      </w:r>
      <w:r w:rsidR="00D74A50">
        <w:t>anda</w:t>
      </w:r>
      <w:r w:rsidR="005D08BE">
        <w:t xml:space="preserve"> </w:t>
      </w:r>
      <w:r w:rsidR="00901039">
        <w:t>olukordades</w:t>
      </w:r>
      <w:r w:rsidR="005D08BE">
        <w:t>, kus teoste kättesaadavaks tegemine ilma loata ei ole juhuslik</w:t>
      </w:r>
      <w:r w:rsidR="00901039">
        <w:t xml:space="preserve">, mis omakorda </w:t>
      </w:r>
      <w:r w:rsidR="00DA2AAB">
        <w:t xml:space="preserve">võiks </w:t>
      </w:r>
      <w:r w:rsidR="008D40F5">
        <w:t>vähenda</w:t>
      </w:r>
      <w:r w:rsidR="00DA2AAB">
        <w:t>da</w:t>
      </w:r>
      <w:r w:rsidR="008D40F5">
        <w:t xml:space="preserve"> </w:t>
      </w:r>
      <w:proofErr w:type="spellStart"/>
      <w:r w:rsidR="008D40F5">
        <w:t>üleblokeerimise</w:t>
      </w:r>
      <w:proofErr w:type="spellEnd"/>
      <w:r w:rsidR="008D40F5">
        <w:t xml:space="preserve"> ohtu</w:t>
      </w:r>
      <w:r w:rsidR="002812F9" w:rsidRPr="002812F9">
        <w:t xml:space="preserve">. </w:t>
      </w:r>
    </w:p>
    <w:p w14:paraId="7CDCA1D9" w14:textId="3D7B0FD4" w:rsidR="00E8000D" w:rsidRDefault="00431B78" w:rsidP="000935B3">
      <w:pPr>
        <w:pStyle w:val="Listtasand4"/>
      </w:pPr>
      <w:r>
        <w:t xml:space="preserve">Kui ettekirjutus on antud, peaks </w:t>
      </w:r>
      <w:r w:rsidR="00E8000D">
        <w:t xml:space="preserve">TTJA </w:t>
      </w:r>
      <w:r>
        <w:t xml:space="preserve">pöörduma </w:t>
      </w:r>
      <w:r w:rsidR="00E8000D" w:rsidRPr="00E8000D">
        <w:t>Eesti Interneti Sihtasutuse (edaspidi EIS) kui domeeniregistri</w:t>
      </w:r>
      <w:r w:rsidR="007E5B66">
        <w:t xml:space="preserve"> pidaja</w:t>
      </w:r>
      <w:r w:rsidR="00E8000D" w:rsidRPr="00E8000D">
        <w:t xml:space="preserve"> poole domeeni kustutamise taotlusega</w:t>
      </w:r>
      <w:r>
        <w:t xml:space="preserve">. </w:t>
      </w:r>
      <w:r w:rsidR="00E8000D" w:rsidRPr="00E8000D">
        <w:t xml:space="preserve">EIS </w:t>
      </w:r>
      <w:r>
        <w:t xml:space="preserve">rakendab </w:t>
      </w:r>
      <w:r w:rsidR="00E8000D" w:rsidRPr="00E8000D">
        <w:t>enda tavapärast kustutamismenetlust</w:t>
      </w:r>
      <w:r>
        <w:t xml:space="preserve">, kui </w:t>
      </w:r>
      <w:r w:rsidR="00E8000D" w:rsidRPr="00E8000D">
        <w:t xml:space="preserve">tipptaseme domeeninimeks on Eesti tunnusega tippdomeeninimi .ee. Kui domeeniregister asub näiteks kolmandas riigis, on </w:t>
      </w:r>
      <w:r w:rsidR="00043105">
        <w:t>TTJA</w:t>
      </w:r>
      <w:r w:rsidR="00E8000D" w:rsidRPr="00E8000D">
        <w:t>-l võimalik pöörduda internetiühendust pakkuva infoühiskonna teenuse osutaja poole</w:t>
      </w:r>
      <w:r w:rsidR="00043105">
        <w:t xml:space="preserve">, </w:t>
      </w:r>
      <w:proofErr w:type="spellStart"/>
      <w:r w:rsidR="00043105">
        <w:t>misjuhul</w:t>
      </w:r>
      <w:proofErr w:type="spellEnd"/>
      <w:r w:rsidR="00043105">
        <w:t xml:space="preserve"> saab e</w:t>
      </w:r>
      <w:r w:rsidR="00E8000D" w:rsidRPr="00E8000D">
        <w:t>ttekirjutusega piirata ligipääs</w:t>
      </w:r>
      <w:r w:rsidR="00043105">
        <w:t>u</w:t>
      </w:r>
      <w:r w:rsidR="00E8000D" w:rsidRPr="00E8000D">
        <w:t xml:space="preserve"> vastavale domeenile või domeeninimele.</w:t>
      </w:r>
    </w:p>
    <w:p w14:paraId="0B4AC8F7" w14:textId="030E91DC" w:rsidR="00047912" w:rsidRPr="00E167EC" w:rsidRDefault="00930EBA" w:rsidP="00B46D6A">
      <w:pPr>
        <w:pStyle w:val="Ksimus"/>
      </w:pPr>
      <w:r>
        <w:t>K</w:t>
      </w:r>
      <w:r w:rsidR="00047912" w:rsidRPr="00E167EC">
        <w:t xml:space="preserve">as </w:t>
      </w:r>
      <w:r w:rsidR="00E07BD5" w:rsidRPr="0077298F">
        <w:t xml:space="preserve">Eesti peaks </w:t>
      </w:r>
      <w:r w:rsidR="009204B5">
        <w:t>lähtuma</w:t>
      </w:r>
      <w:r w:rsidR="00E07BD5" w:rsidRPr="0077298F">
        <w:t xml:space="preserve"> mudeli</w:t>
      </w:r>
      <w:r w:rsidR="009204B5">
        <w:t>st</w:t>
      </w:r>
      <w:r w:rsidR="00E07BD5" w:rsidRPr="0077298F">
        <w:t>, kus ettekirjutuste andmise pädevus on tsiviilkohtul (nii, nagu see on kehtivas õiguses), kuid senist menetlust tõhustatakse erikorraga</w:t>
      </w:r>
      <w:r w:rsidR="009204B5">
        <w:t xml:space="preserve"> ja</w:t>
      </w:r>
      <w:r w:rsidR="00E07BD5" w:rsidRPr="0077298F">
        <w:t xml:space="preserve"> </w:t>
      </w:r>
      <w:r w:rsidR="009204B5">
        <w:t>k</w:t>
      </w:r>
      <w:r w:rsidR="00E07BD5" w:rsidRPr="0077298F">
        <w:t>as sellisel juhul peaks kohtu määratud ettekirjutuse jõustamisel kaasama</w:t>
      </w:r>
      <w:r w:rsidR="009204B5">
        <w:t xml:space="preserve"> </w:t>
      </w:r>
      <w:r w:rsidR="00E07BD5" w:rsidRPr="0077298F">
        <w:t>TTJA-d</w:t>
      </w:r>
      <w:r w:rsidR="009204B5">
        <w:t xml:space="preserve"> või</w:t>
      </w:r>
      <w:r w:rsidR="00E07BD5" w:rsidRPr="0077298F">
        <w:t xml:space="preserve"> muud asutust?</w:t>
      </w:r>
      <w:r w:rsidR="00E07BD5">
        <w:t xml:space="preserve"> Alternatiivselt, kas </w:t>
      </w:r>
      <w:r w:rsidR="00E07BD5" w:rsidRPr="00047912">
        <w:t xml:space="preserve">Eestis </w:t>
      </w:r>
      <w:r w:rsidR="00E07BD5">
        <w:t xml:space="preserve">peaks </w:t>
      </w:r>
      <w:r w:rsidR="00E07BD5" w:rsidRPr="00047912">
        <w:t xml:space="preserve">ettekirjutuste andmise pädevus </w:t>
      </w:r>
      <w:r w:rsidR="00E07BD5">
        <w:t xml:space="preserve">olema </w:t>
      </w:r>
      <w:r w:rsidR="00E07BD5" w:rsidRPr="00047912">
        <w:t>haldusorganil</w:t>
      </w:r>
      <w:r w:rsidR="00E07BD5">
        <w:t xml:space="preserve"> (nt TTJA-l)</w:t>
      </w:r>
      <w:r w:rsidR="009204B5">
        <w:t xml:space="preserve"> ja</w:t>
      </w:r>
      <w:r w:rsidR="00E07BD5" w:rsidRPr="00047912">
        <w:t xml:space="preserve"> kas </w:t>
      </w:r>
      <w:r w:rsidR="00E07BD5">
        <w:t xml:space="preserve">sellisel juhul </w:t>
      </w:r>
      <w:r w:rsidR="00E07BD5" w:rsidRPr="00047912">
        <w:t>peaks ettekirjutuse andmiseks</w:t>
      </w:r>
      <w:r w:rsidR="00330034">
        <w:t xml:space="preserve"> olema</w:t>
      </w:r>
      <w:r w:rsidR="00E07BD5" w:rsidRPr="00047912">
        <w:t xml:space="preserve"> kohtult eelnev l</w:t>
      </w:r>
      <w:r w:rsidR="00330034">
        <w:t>uba</w:t>
      </w:r>
      <w:r w:rsidR="00E07BD5" w:rsidRPr="00047912">
        <w:t>?</w:t>
      </w:r>
      <w:r w:rsidR="00E07BD5">
        <w:t xml:space="preserve"> </w:t>
      </w:r>
    </w:p>
    <w:p w14:paraId="24967167" w14:textId="3181683D" w:rsidR="006C1D09" w:rsidRDefault="006C1D09" w:rsidP="003A6C76">
      <w:pPr>
        <w:pStyle w:val="Listtasand2"/>
      </w:pPr>
      <w:bookmarkStart w:id="9" w:name="_Toc229141293"/>
      <w:r>
        <w:t>Ettekirjutuse adressaat</w:t>
      </w:r>
      <w:bookmarkEnd w:id="9"/>
    </w:p>
    <w:p w14:paraId="035E0CF6" w14:textId="2680EF35" w:rsidR="006C1D09" w:rsidRDefault="002A0F2F" w:rsidP="006C1D09">
      <w:pPr>
        <w:pStyle w:val="Listtasand3"/>
      </w:pPr>
      <w:proofErr w:type="spellStart"/>
      <w:r>
        <w:t>InfoSoc</w:t>
      </w:r>
      <w:proofErr w:type="spellEnd"/>
      <w:r>
        <w:t xml:space="preserve"> direktiivi art 8 lg 3 kohaselt võib ettekirjutusi anda mis tahes vahendaja vastu</w:t>
      </w:r>
      <w:r w:rsidR="00C264F0">
        <w:t xml:space="preserve">. </w:t>
      </w:r>
      <w:r w:rsidR="00543EA1">
        <w:t xml:space="preserve">Mõnedes </w:t>
      </w:r>
      <w:r>
        <w:t>LR-des seni olnud ettekirjutuste adressaatideks ISP-d</w:t>
      </w:r>
      <w:r w:rsidR="009814A9">
        <w:t>, mõnedes LR-des saab ka teiste vahendajate vastu ettekirjutusi anda (</w:t>
      </w:r>
      <w:r w:rsidR="00064DA1">
        <w:t>DNS-registrite pidajad, majutusteenuse pakkujad</w:t>
      </w:r>
      <w:r w:rsidR="00560129">
        <w:t xml:space="preserve">, </w:t>
      </w:r>
      <w:r w:rsidR="00E2462A">
        <w:t>DNS-</w:t>
      </w:r>
      <w:proofErr w:type="spellStart"/>
      <w:r w:rsidR="00E2462A" w:rsidRPr="00E2462A">
        <w:rPr>
          <w:i/>
          <w:iCs/>
        </w:rPr>
        <w:t>resolver</w:t>
      </w:r>
      <w:proofErr w:type="spellEnd"/>
      <w:r w:rsidR="00E2462A">
        <w:t xml:space="preserve"> teenused</w:t>
      </w:r>
      <w:r w:rsidR="009814A9">
        <w:t>)</w:t>
      </w:r>
      <w:r>
        <w:t>.</w:t>
      </w:r>
      <w:r>
        <w:rPr>
          <w:rStyle w:val="FootnoteReference"/>
        </w:rPr>
        <w:footnoteReference w:id="58"/>
      </w:r>
    </w:p>
    <w:p w14:paraId="37D68187" w14:textId="5E2C8954" w:rsidR="005F6987" w:rsidRDefault="005F6987" w:rsidP="006C1D09">
      <w:pPr>
        <w:pStyle w:val="Listtasand3"/>
      </w:pPr>
      <w:r>
        <w:t xml:space="preserve">Näiteks on mõeldav, et vahendajate alla liigituvad ka </w:t>
      </w:r>
      <w:r w:rsidRPr="005F6987">
        <w:t>otsingumootori</w:t>
      </w:r>
      <w:r>
        <w:t>d</w:t>
      </w:r>
      <w:r w:rsidRPr="005F6987">
        <w:t xml:space="preserve"> ja </w:t>
      </w:r>
      <w:r>
        <w:t>(</w:t>
      </w:r>
      <w:r w:rsidRPr="005F6987">
        <w:t>rakenduse</w:t>
      </w:r>
      <w:r>
        <w:t>)</w:t>
      </w:r>
      <w:r w:rsidRPr="005F6987">
        <w:t>po</w:t>
      </w:r>
      <w:r>
        <w:t>e</w:t>
      </w:r>
      <w:r w:rsidRPr="005F6987">
        <w:t>d</w:t>
      </w:r>
      <w:r w:rsidR="00096CDD">
        <w:t xml:space="preserve"> ja ettekirjutusi on võimalik anda ka nende </w:t>
      </w:r>
      <w:r w:rsidR="00484371">
        <w:t>isikute vastu</w:t>
      </w:r>
      <w:r w:rsidRPr="005F6987">
        <w:t xml:space="preserve">, nt </w:t>
      </w:r>
      <w:r w:rsidR="00484371">
        <w:t xml:space="preserve">eemaldades rikkuva sisu </w:t>
      </w:r>
      <w:r w:rsidR="00484371" w:rsidRPr="005F6987">
        <w:t xml:space="preserve">otsingutulemustest </w:t>
      </w:r>
      <w:proofErr w:type="spellStart"/>
      <w:r w:rsidRPr="005F6987">
        <w:t>delistimi</w:t>
      </w:r>
      <w:r w:rsidR="00484371">
        <w:t>s</w:t>
      </w:r>
      <w:r w:rsidRPr="005F6987">
        <w:t>e</w:t>
      </w:r>
      <w:proofErr w:type="spellEnd"/>
      <w:r w:rsidRPr="005F6987">
        <w:t xml:space="preserve"> </w:t>
      </w:r>
      <w:r w:rsidR="00484371">
        <w:t>kaudu või</w:t>
      </w:r>
      <w:r w:rsidRPr="005F6987">
        <w:t xml:space="preserve"> </w:t>
      </w:r>
      <w:r w:rsidR="00484371">
        <w:t>(</w:t>
      </w:r>
      <w:r w:rsidRPr="005F6987">
        <w:t>rakenduse</w:t>
      </w:r>
      <w:r w:rsidR="00484371">
        <w:t>)</w:t>
      </w:r>
      <w:r w:rsidRPr="005F6987">
        <w:t>poest rakenduse</w:t>
      </w:r>
      <w:r w:rsidR="00D8771F">
        <w:t xml:space="preserve"> või muu taolise</w:t>
      </w:r>
      <w:r w:rsidRPr="005F6987">
        <w:t xml:space="preserve"> eemaldami</w:t>
      </w:r>
      <w:r w:rsidR="00D8771F">
        <w:t>s</w:t>
      </w:r>
      <w:r w:rsidRPr="005F6987">
        <w:t>e</w:t>
      </w:r>
      <w:r w:rsidR="00D8771F">
        <w:t xml:space="preserve"> kaudu.</w:t>
      </w:r>
      <w:r w:rsidR="00DF075B">
        <w:t xml:space="preserve"> See sõltub probleemi relevantsusest asjaomases sektoris. Mõnes </w:t>
      </w:r>
      <w:proofErr w:type="spellStart"/>
      <w:r w:rsidR="00DF075B">
        <w:t>LR-s</w:t>
      </w:r>
      <w:proofErr w:type="spellEnd"/>
      <w:r w:rsidR="00DF075B">
        <w:t xml:space="preserve"> on peetud vajalikuks ka teiste vahendajate vastu </w:t>
      </w:r>
      <w:r w:rsidR="00104F67">
        <w:t xml:space="preserve">suunatud </w:t>
      </w:r>
      <w:r w:rsidR="00DF075B">
        <w:t xml:space="preserve">ettekirjutuste andmist (mitte ainult ISP-de vastu suunatud), igas </w:t>
      </w:r>
      <w:proofErr w:type="spellStart"/>
      <w:r w:rsidR="00DF075B">
        <w:t>LR-s</w:t>
      </w:r>
      <w:proofErr w:type="spellEnd"/>
      <w:r w:rsidR="00DF075B">
        <w:t xml:space="preserve"> pole seda vajalikuks peetud.</w:t>
      </w:r>
    </w:p>
    <w:p w14:paraId="1987E8BD" w14:textId="37614191" w:rsidR="007A5DD9" w:rsidRDefault="007A5DD9" w:rsidP="006C1D09">
      <w:pPr>
        <w:pStyle w:val="Listtasand3"/>
      </w:pPr>
      <w:r w:rsidRPr="007A5DD9">
        <w:t xml:space="preserve">Üldiselt tuleks korraldus anda sisu üle lähimat tehnilist kontrolli omavale teenuseosutajale, et minimeerida mõju seaduslikule sisule (vt DSA </w:t>
      </w:r>
      <w:proofErr w:type="spellStart"/>
      <w:r w:rsidRPr="007A5DD9">
        <w:t>pp</w:t>
      </w:r>
      <w:proofErr w:type="spellEnd"/>
      <w:r w:rsidRPr="007A5DD9">
        <w:t xml:space="preserve"> 27). Terve veebilehe piiramisel tundub asjakohane kaasata ka DNS-registrite pidajad sarnaselt muudele piiramise sätetele Eesti õiguses</w:t>
      </w:r>
      <w:r w:rsidR="00F05552">
        <w:t>.</w:t>
      </w:r>
    </w:p>
    <w:p w14:paraId="10984E10" w14:textId="09484303" w:rsidR="00CF7101" w:rsidRDefault="00930EBA" w:rsidP="00CF7101">
      <w:pPr>
        <w:pStyle w:val="Ksimus"/>
      </w:pPr>
      <w:r>
        <w:t>Kas</w:t>
      </w:r>
      <w:r w:rsidR="00E2462A">
        <w:t xml:space="preserve"> </w:t>
      </w:r>
      <w:r w:rsidR="00CF7101">
        <w:t>ettekirjutus</w:t>
      </w:r>
      <w:r w:rsidR="00A754AA">
        <w:t xml:space="preserve">te andmine </w:t>
      </w:r>
      <w:r>
        <w:t xml:space="preserve">peaks </w:t>
      </w:r>
      <w:r w:rsidR="00A754AA">
        <w:t>olema võimalik</w:t>
      </w:r>
      <w:r w:rsidR="00CF7101">
        <w:t xml:space="preserve"> ainult ISP-d</w:t>
      </w:r>
      <w:r>
        <w:t>e vastu</w:t>
      </w:r>
      <w:r w:rsidR="00CF7101">
        <w:t xml:space="preserve"> või </w:t>
      </w:r>
      <w:r w:rsidR="00A754AA">
        <w:t>peaks olema võimalik ettekirjutusi anda ka muude vahendajate vastu</w:t>
      </w:r>
      <w:r w:rsidR="00CF7101">
        <w:t>?</w:t>
      </w:r>
    </w:p>
    <w:p w14:paraId="4B1B1B8C" w14:textId="119BE46A" w:rsidR="003A6C76" w:rsidRDefault="006C1D09" w:rsidP="003A6C76">
      <w:pPr>
        <w:pStyle w:val="Listtasand2"/>
      </w:pPr>
      <w:bookmarkStart w:id="10" w:name="_Toc229141294"/>
      <w:r>
        <w:t>Vahendaja menetlusse kaasamine</w:t>
      </w:r>
      <w:bookmarkEnd w:id="10"/>
      <w:r>
        <w:t xml:space="preserve"> </w:t>
      </w:r>
    </w:p>
    <w:p w14:paraId="2A84EF6D" w14:textId="68911E95" w:rsidR="00E6791C" w:rsidRDefault="00091970" w:rsidP="000C2713">
      <w:pPr>
        <w:pStyle w:val="Listtasand3"/>
      </w:pPr>
      <w:r>
        <w:t xml:space="preserve">Osades LR-des </w:t>
      </w:r>
      <w:r w:rsidR="0069346F">
        <w:t xml:space="preserve">võidakse teatud tingimustel </w:t>
      </w:r>
      <w:r w:rsidR="00E717D0">
        <w:t>ettekirjutusi</w:t>
      </w:r>
      <w:r w:rsidR="0069346F">
        <w:t xml:space="preserve"> menetleda</w:t>
      </w:r>
      <w:r w:rsidR="00E717D0">
        <w:t xml:space="preserve"> </w:t>
      </w:r>
      <w:proofErr w:type="spellStart"/>
      <w:r w:rsidR="00E6791C" w:rsidRPr="00E6791C">
        <w:rPr>
          <w:i/>
          <w:iCs/>
        </w:rPr>
        <w:t>e</w:t>
      </w:r>
      <w:r w:rsidR="005512A2" w:rsidRPr="00E6791C">
        <w:rPr>
          <w:i/>
          <w:iCs/>
        </w:rPr>
        <w:t>x</w:t>
      </w:r>
      <w:proofErr w:type="spellEnd"/>
      <w:r w:rsidR="005512A2" w:rsidRPr="00E6791C">
        <w:rPr>
          <w:i/>
          <w:iCs/>
        </w:rPr>
        <w:t xml:space="preserve"> partes</w:t>
      </w:r>
      <w:r w:rsidR="00ED7DB6">
        <w:t xml:space="preserve"> (</w:t>
      </w:r>
      <w:r w:rsidR="00FA1036">
        <w:t>Saksamaa, Madalmaad, UK, Taani</w:t>
      </w:r>
      <w:r w:rsidR="0091181D">
        <w:t>, Soome</w:t>
      </w:r>
      <w:r w:rsidR="00ED7DB6">
        <w:t>),</w:t>
      </w:r>
      <w:r w:rsidR="00E6791C">
        <w:t xml:space="preserve"> teistes</w:t>
      </w:r>
      <w:r w:rsidR="00E717D0">
        <w:t xml:space="preserve"> on jälle</w:t>
      </w:r>
      <w:r w:rsidR="00E6791C">
        <w:t xml:space="preserve"> </w:t>
      </w:r>
      <w:r w:rsidR="007C34CE">
        <w:t xml:space="preserve">üksnes </w:t>
      </w:r>
      <w:r w:rsidR="005512A2" w:rsidRPr="00E6791C">
        <w:rPr>
          <w:i/>
          <w:iCs/>
        </w:rPr>
        <w:t>inter partes</w:t>
      </w:r>
      <w:r w:rsidR="005512A2">
        <w:t xml:space="preserve"> </w:t>
      </w:r>
      <w:r w:rsidR="00E6791C">
        <w:t>menetlus</w:t>
      </w:r>
      <w:r w:rsidR="00DD4B1F">
        <w:t xml:space="preserve"> (nt Prantsusmaa, Kreeka, Iirimaa, Itaalia, Hispaania)</w:t>
      </w:r>
      <w:r w:rsidR="00E6791C">
        <w:t>.</w:t>
      </w:r>
      <w:r w:rsidR="00F41402">
        <w:rPr>
          <w:rStyle w:val="FootnoteReference"/>
        </w:rPr>
        <w:footnoteReference w:id="59"/>
      </w:r>
    </w:p>
    <w:p w14:paraId="62B00840" w14:textId="1424FED8" w:rsidR="000C2713" w:rsidRDefault="008735D5" w:rsidP="000C2713">
      <w:pPr>
        <w:pStyle w:val="Listtasand3"/>
      </w:pPr>
      <w:r>
        <w:t xml:space="preserve">Eestis </w:t>
      </w:r>
      <w:r w:rsidR="006C1D09">
        <w:t xml:space="preserve">võiks lähtuda </w:t>
      </w:r>
      <w:r w:rsidR="00721483">
        <w:t xml:space="preserve">põhimõttest, et vahendaja tuleb </w:t>
      </w:r>
      <w:r w:rsidR="00D41666">
        <w:t xml:space="preserve">(üldreeglina) </w:t>
      </w:r>
      <w:r w:rsidR="00721483">
        <w:t>menetlusse kaasata. Ettekirjutuse andmiseks pädev asutus pea</w:t>
      </w:r>
      <w:r w:rsidR="00D41666">
        <w:t>ks</w:t>
      </w:r>
      <w:r w:rsidR="00721483">
        <w:t xml:space="preserve"> </w:t>
      </w:r>
      <w:r w:rsidR="004E76A8">
        <w:t>vahendajaga</w:t>
      </w:r>
      <w:r w:rsidR="000C2713">
        <w:t xml:space="preserve"> ühendust võtma </w:t>
      </w:r>
      <w:r w:rsidR="009E46DB">
        <w:t>ning andma võimaluse selgitus</w:t>
      </w:r>
      <w:r w:rsidR="004E76A8">
        <w:t>t</w:t>
      </w:r>
      <w:r w:rsidR="009E46DB">
        <w:t>e andmiseks.</w:t>
      </w:r>
      <w:r>
        <w:rPr>
          <w:rStyle w:val="FootnoteReference"/>
        </w:rPr>
        <w:footnoteReference w:id="60"/>
      </w:r>
      <w:r w:rsidR="005E0D90">
        <w:t xml:space="preserve"> Seega</w:t>
      </w:r>
      <w:r w:rsidR="0068139A">
        <w:t xml:space="preserve"> oleks tegemist</w:t>
      </w:r>
      <w:r w:rsidR="005E0D90">
        <w:t xml:space="preserve"> </w:t>
      </w:r>
      <w:r w:rsidR="0068139A" w:rsidRPr="0068139A">
        <w:rPr>
          <w:i/>
          <w:iCs/>
        </w:rPr>
        <w:t>inter partes</w:t>
      </w:r>
      <w:r w:rsidR="0068139A">
        <w:t xml:space="preserve"> menetlusega</w:t>
      </w:r>
      <w:r w:rsidR="004E76A8">
        <w:t>,</w:t>
      </w:r>
      <w:r w:rsidR="0068139A">
        <w:t xml:space="preserve"> </w:t>
      </w:r>
      <w:r w:rsidR="004E76A8">
        <w:t>vahendaja</w:t>
      </w:r>
      <w:r w:rsidR="00780F5A" w:rsidRPr="00780F5A">
        <w:t xml:space="preserve"> </w:t>
      </w:r>
      <w:r w:rsidR="004E76A8">
        <w:t>on menetlusse kaasatud alati, ka siis, kui tema käest vastust ei saada</w:t>
      </w:r>
      <w:r w:rsidR="001B5CF3">
        <w:t xml:space="preserve">. </w:t>
      </w:r>
      <w:r w:rsidR="000D34B3">
        <w:t xml:space="preserve">Kui </w:t>
      </w:r>
      <w:r w:rsidR="009F0677">
        <w:t xml:space="preserve">anda </w:t>
      </w:r>
      <w:r w:rsidR="000D34B3">
        <w:t>vahendajale võimalus selgitus</w:t>
      </w:r>
      <w:r w:rsidR="000D5200">
        <w:t>te andmiseks</w:t>
      </w:r>
      <w:r w:rsidR="0014584A">
        <w:t xml:space="preserve">, </w:t>
      </w:r>
      <w:r w:rsidR="000D34B3">
        <w:t xml:space="preserve">selgitused </w:t>
      </w:r>
      <w:r w:rsidR="008F6747">
        <w:t xml:space="preserve">lükkavad taotluses esitatud </w:t>
      </w:r>
      <w:r w:rsidR="000D5200">
        <w:t>väited ümbe</w:t>
      </w:r>
      <w:r w:rsidR="0014584A">
        <w:t>r, blokeerimise alus langeb ära</w:t>
      </w:r>
      <w:r w:rsidR="009F0677">
        <w:t xml:space="preserve">, ei ole </w:t>
      </w:r>
      <w:r w:rsidR="002A4245">
        <w:t xml:space="preserve">põhjust ettekirjutuse andmiseks. </w:t>
      </w:r>
      <w:r w:rsidR="009F0677" w:rsidRPr="009F0677">
        <w:t xml:space="preserve">Seeläbi on võimalik vähendada </w:t>
      </w:r>
      <w:proofErr w:type="spellStart"/>
      <w:r w:rsidR="009F0677" w:rsidRPr="009F0677">
        <w:t>üleblokeerimise</w:t>
      </w:r>
      <w:proofErr w:type="spellEnd"/>
      <w:r w:rsidR="009F0677" w:rsidRPr="009F0677">
        <w:t xml:space="preserve"> ohtu.</w:t>
      </w:r>
      <w:r w:rsidR="000D5200">
        <w:t xml:space="preserve"> </w:t>
      </w:r>
      <w:r w:rsidR="0005514C">
        <w:t>P</w:t>
      </w:r>
      <w:r w:rsidR="000E0935">
        <w:t>õhimõtteliselt oleks m</w:t>
      </w:r>
      <w:r w:rsidR="001734B3">
        <w:t xml:space="preserve">õeldav </w:t>
      </w:r>
      <w:proofErr w:type="spellStart"/>
      <w:r w:rsidR="001734B3" w:rsidRPr="001734B3">
        <w:rPr>
          <w:i/>
          <w:iCs/>
        </w:rPr>
        <w:t>ex</w:t>
      </w:r>
      <w:proofErr w:type="spellEnd"/>
      <w:r w:rsidR="001734B3" w:rsidRPr="001734B3">
        <w:rPr>
          <w:i/>
          <w:iCs/>
        </w:rPr>
        <w:t xml:space="preserve"> partes</w:t>
      </w:r>
      <w:r w:rsidR="001734B3">
        <w:t xml:space="preserve"> menetlus</w:t>
      </w:r>
      <w:r w:rsidR="00A81617">
        <w:t xml:space="preserve"> ka Eestis</w:t>
      </w:r>
      <w:r w:rsidR="001734B3">
        <w:t xml:space="preserve">, kuid </w:t>
      </w:r>
      <w:r w:rsidR="00625183">
        <w:t xml:space="preserve">mitte üldreeglina, vaid </w:t>
      </w:r>
      <w:r w:rsidR="00F67244">
        <w:t>ainult juhul</w:t>
      </w:r>
      <w:r w:rsidR="00A27B48">
        <w:t xml:space="preserve">, kus </w:t>
      </w:r>
      <w:r w:rsidR="00625183">
        <w:t xml:space="preserve">selleks esineb mingi kaalukas vajadus. </w:t>
      </w:r>
      <w:r w:rsidR="002A4245">
        <w:t xml:space="preserve">Võrdluseks </w:t>
      </w:r>
      <w:r w:rsidR="00882A32">
        <w:t xml:space="preserve">on </w:t>
      </w:r>
      <w:r w:rsidR="002A4245">
        <w:t xml:space="preserve">nt Saksamaal </w:t>
      </w:r>
      <w:proofErr w:type="spellStart"/>
      <w:r w:rsidR="002A4245" w:rsidRPr="002A4245">
        <w:rPr>
          <w:i/>
          <w:iCs/>
        </w:rPr>
        <w:t>ex</w:t>
      </w:r>
      <w:proofErr w:type="spellEnd"/>
      <w:r w:rsidR="002A4245" w:rsidRPr="002A4245">
        <w:rPr>
          <w:i/>
          <w:iCs/>
        </w:rPr>
        <w:t xml:space="preserve"> partes</w:t>
      </w:r>
      <w:r w:rsidR="002A4245">
        <w:t xml:space="preserve"> menetlus </w:t>
      </w:r>
      <w:r w:rsidR="00C92E9F">
        <w:t>õigustatud, kui asi on kiireloomuline.</w:t>
      </w:r>
      <w:r w:rsidR="00C92E9F">
        <w:rPr>
          <w:rStyle w:val="FootnoteReference"/>
        </w:rPr>
        <w:footnoteReference w:id="61"/>
      </w:r>
    </w:p>
    <w:p w14:paraId="407C7D6A" w14:textId="50431EAB" w:rsidR="00DF075B" w:rsidRDefault="00F26457" w:rsidP="000C2713">
      <w:pPr>
        <w:pStyle w:val="Listtasand3"/>
      </w:pPr>
      <w:r>
        <w:t xml:space="preserve">Lisaks on teada probleem, et taolistel </w:t>
      </w:r>
      <w:r w:rsidR="008F4608">
        <w:t>„piraatsisu“ jagavatel veebilehtedel tihtipeale puuduvad kontaktandmed</w:t>
      </w:r>
      <w:r w:rsidR="00B725E8">
        <w:t xml:space="preserve">. </w:t>
      </w:r>
      <w:r w:rsidR="008A45CB">
        <w:t xml:space="preserve">Juhul, kui </w:t>
      </w:r>
      <w:r w:rsidR="00C06E60">
        <w:t xml:space="preserve">vahendajat </w:t>
      </w:r>
      <w:r w:rsidR="00882A32">
        <w:t xml:space="preserve">pole võimalik </w:t>
      </w:r>
      <w:r w:rsidR="00C06E60">
        <w:t>menetlusse kaasata</w:t>
      </w:r>
      <w:r>
        <w:t xml:space="preserve"> </w:t>
      </w:r>
      <w:r w:rsidR="002F4654">
        <w:t xml:space="preserve">viimase kontaktandmete puudumise tõttu, </w:t>
      </w:r>
      <w:r w:rsidR="00815998">
        <w:t xml:space="preserve">oleks mõistlik </w:t>
      </w:r>
      <w:r w:rsidR="00A544D7">
        <w:t xml:space="preserve">vastavat olukorda </w:t>
      </w:r>
      <w:r w:rsidR="00815998">
        <w:t>reguleerida</w:t>
      </w:r>
      <w:r w:rsidR="00A544D7">
        <w:t xml:space="preserve">. </w:t>
      </w:r>
      <w:r w:rsidR="00731F81">
        <w:t xml:space="preserve">Näiteks on Leedus ette nähtud kord, et </w:t>
      </w:r>
      <w:r w:rsidR="0021722F">
        <w:t>taotluse</w:t>
      </w:r>
      <w:r w:rsidR="00731F81">
        <w:t xml:space="preserve"> </w:t>
      </w:r>
      <w:r w:rsidR="000A4AFA">
        <w:t>esitaja peab enne haldusorgani poole pöördumist</w:t>
      </w:r>
      <w:r w:rsidR="00A813CF">
        <w:t xml:space="preserve"> </w:t>
      </w:r>
      <w:r w:rsidR="0015125D">
        <w:t xml:space="preserve">ammendama </w:t>
      </w:r>
      <w:r w:rsidR="00667555">
        <w:t xml:space="preserve">kõik vahendid </w:t>
      </w:r>
      <w:r w:rsidR="00A813CF">
        <w:t xml:space="preserve">veebisisu </w:t>
      </w:r>
      <w:r w:rsidR="00B40716">
        <w:t>eemaldamiseks</w:t>
      </w:r>
      <w:r w:rsidR="00667555">
        <w:t xml:space="preserve">, sisuliselt peab ta võtma vahendajaga </w:t>
      </w:r>
      <w:r w:rsidR="00C32E03">
        <w:t xml:space="preserve">ühendust </w:t>
      </w:r>
      <w:r w:rsidR="00667555">
        <w:t>ja paluma veebisisu eemalda</w:t>
      </w:r>
      <w:r w:rsidR="00C32E03">
        <w:t>mist</w:t>
      </w:r>
      <w:r w:rsidR="00B40716">
        <w:t>.</w:t>
      </w:r>
      <w:r w:rsidR="00B40716">
        <w:rPr>
          <w:rStyle w:val="FootnoteReference"/>
        </w:rPr>
        <w:footnoteReference w:id="62"/>
      </w:r>
      <w:r w:rsidR="00B40716">
        <w:t xml:space="preserve"> </w:t>
      </w:r>
      <w:r w:rsidR="009467DD">
        <w:t xml:space="preserve">Kui </w:t>
      </w:r>
      <w:r w:rsidR="0021722F">
        <w:t>taotluse</w:t>
      </w:r>
      <w:r w:rsidR="00694048">
        <w:t xml:space="preserve"> esitaja</w:t>
      </w:r>
      <w:r w:rsidR="0021722F">
        <w:t xml:space="preserve"> suudab põhistada, et tal puudub info</w:t>
      </w:r>
      <w:r w:rsidR="00E0223A">
        <w:t xml:space="preserve">, mis võimaldaks tal vahendajaga ühendust võtta ja </w:t>
      </w:r>
      <w:r w:rsidR="0015125D">
        <w:t>kontakt</w:t>
      </w:r>
      <w:r w:rsidR="00E0223A">
        <w:t xml:space="preserve">info saamine </w:t>
      </w:r>
      <w:r w:rsidR="0015125D">
        <w:t>osutub</w:t>
      </w:r>
      <w:r w:rsidR="00E0223A">
        <w:t xml:space="preserve"> liigselt kulukas või keerukas</w:t>
      </w:r>
      <w:r w:rsidR="0015125D">
        <w:t xml:space="preserve">, on </w:t>
      </w:r>
      <w:r w:rsidR="00C32E03">
        <w:t xml:space="preserve">tal õigus esitada </w:t>
      </w:r>
      <w:r w:rsidR="006E1881">
        <w:t xml:space="preserve">haldusorganile </w:t>
      </w:r>
      <w:r w:rsidR="00C32E03">
        <w:t>taotlus</w:t>
      </w:r>
      <w:r w:rsidR="006E1881">
        <w:t xml:space="preserve">, </w:t>
      </w:r>
      <w:r w:rsidR="006E1881" w:rsidRPr="006E1881">
        <w:t>ammendama</w:t>
      </w:r>
      <w:r w:rsidR="006E1881">
        <w:t>ta</w:t>
      </w:r>
      <w:r w:rsidR="006E1881" w:rsidRPr="006E1881">
        <w:t xml:space="preserve"> </w:t>
      </w:r>
      <w:r w:rsidR="006E1881">
        <w:t>eelmainitud</w:t>
      </w:r>
      <w:r w:rsidR="006E1881" w:rsidRPr="006E1881">
        <w:t xml:space="preserve"> vahend</w:t>
      </w:r>
      <w:r w:rsidR="006E1881">
        <w:t>eid.</w:t>
      </w:r>
      <w:r w:rsidR="006E1881">
        <w:rPr>
          <w:rStyle w:val="FootnoteReference"/>
        </w:rPr>
        <w:footnoteReference w:id="63"/>
      </w:r>
      <w:r w:rsidR="006E1881">
        <w:t xml:space="preserve"> </w:t>
      </w:r>
    </w:p>
    <w:p w14:paraId="3827EB10" w14:textId="0B7B0972" w:rsidR="00076C6C" w:rsidRDefault="00076C6C" w:rsidP="000C2713">
      <w:pPr>
        <w:pStyle w:val="Listtasand3"/>
      </w:pPr>
      <w:r w:rsidRPr="00076C6C">
        <w:t xml:space="preserve">Ühtlasi võib olla korraga </w:t>
      </w:r>
      <w:r w:rsidR="003E2B9F">
        <w:t xml:space="preserve">esineda </w:t>
      </w:r>
      <w:r w:rsidRPr="00076C6C">
        <w:t>mitu vahendajat</w:t>
      </w:r>
      <w:r w:rsidR="003E2B9F">
        <w:t>, nt</w:t>
      </w:r>
      <w:r w:rsidRPr="00076C6C">
        <w:t xml:space="preserve"> suhtlusportaal, veebimajutusteenuse pakkuja, ISP. </w:t>
      </w:r>
      <w:r w:rsidR="009D3F79">
        <w:t>Kui pädev asutus saab ettekirjutusi anda erinevate vahendajate vastu, m</w:t>
      </w:r>
      <w:r w:rsidRPr="00076C6C">
        <w:t>illist vahendajat sel</w:t>
      </w:r>
      <w:r>
        <w:t xml:space="preserve"> </w:t>
      </w:r>
      <w:r w:rsidRPr="00076C6C">
        <w:t>juhul kaasama peaks</w:t>
      </w:r>
      <w:r w:rsidR="006D1744">
        <w:t>?</w:t>
      </w:r>
      <w:r w:rsidRPr="00076C6C">
        <w:t xml:space="preserve"> </w:t>
      </w:r>
      <w:r w:rsidR="00D2577B">
        <w:t>Üks variant</w:t>
      </w:r>
      <w:r w:rsidR="003E2B9F">
        <w:t xml:space="preserve"> on</w:t>
      </w:r>
      <w:r w:rsidR="00D2577B">
        <w:t xml:space="preserve">, et tuleks </w:t>
      </w:r>
      <w:r w:rsidRPr="00076C6C">
        <w:t xml:space="preserve">sisule kõige lähemalseisvat </w:t>
      </w:r>
      <w:r w:rsidR="00D2577B">
        <w:t>vahendajat kaasata</w:t>
      </w:r>
      <w:r w:rsidR="003E2B9F">
        <w:t>.</w:t>
      </w:r>
      <w:r w:rsidR="00D2577B">
        <w:t xml:space="preserve"> </w:t>
      </w:r>
      <w:r w:rsidR="003E2B9F">
        <w:t>T</w:t>
      </w:r>
      <w:r w:rsidR="00D2577B">
        <w:t>eine variant</w:t>
      </w:r>
      <w:r w:rsidR="003E2B9F">
        <w:t xml:space="preserve"> on</w:t>
      </w:r>
      <w:r w:rsidR="00D2577B">
        <w:t xml:space="preserve">, et pädev asutus </w:t>
      </w:r>
      <w:r w:rsidRPr="00076C6C">
        <w:t>ise valib</w:t>
      </w:r>
      <w:r w:rsidR="003E2B9F">
        <w:t>, keda menetlusse kaasata</w:t>
      </w:r>
      <w:r w:rsidR="00D2577B">
        <w:t>.</w:t>
      </w:r>
    </w:p>
    <w:p w14:paraId="6E13D689" w14:textId="19136CE9" w:rsidR="004B225A" w:rsidRPr="004B225A" w:rsidRDefault="00930EBA" w:rsidP="00B46D6A">
      <w:pPr>
        <w:pStyle w:val="Ksimus"/>
      </w:pPr>
      <w:r>
        <w:t>K</w:t>
      </w:r>
      <w:r w:rsidR="004B225A" w:rsidRPr="004B225A">
        <w:t xml:space="preserve">as Eestis peaks alati kehtima </w:t>
      </w:r>
      <w:r w:rsidR="004B225A" w:rsidRPr="004B225A">
        <w:rPr>
          <w:i/>
          <w:iCs/>
        </w:rPr>
        <w:t>inter partes</w:t>
      </w:r>
      <w:r w:rsidR="004B225A" w:rsidRPr="004B225A">
        <w:t xml:space="preserve"> menetlus või kiireloomulistes asjades võiks kaaluda ka </w:t>
      </w:r>
      <w:proofErr w:type="spellStart"/>
      <w:r w:rsidR="004B225A" w:rsidRPr="004B225A">
        <w:rPr>
          <w:i/>
          <w:iCs/>
        </w:rPr>
        <w:t>ex</w:t>
      </w:r>
      <w:proofErr w:type="spellEnd"/>
      <w:r w:rsidR="004B225A" w:rsidRPr="004B225A">
        <w:rPr>
          <w:i/>
          <w:iCs/>
        </w:rPr>
        <w:t xml:space="preserve"> partes</w:t>
      </w:r>
      <w:r w:rsidR="004B225A" w:rsidRPr="004B225A">
        <w:t xml:space="preserve"> menetlust?</w:t>
      </w:r>
    </w:p>
    <w:p w14:paraId="3C439F54" w14:textId="7EB42A4A" w:rsidR="00A10E39" w:rsidRDefault="00A10E39" w:rsidP="00A10E39">
      <w:pPr>
        <w:pStyle w:val="Listtasand2"/>
      </w:pPr>
      <w:bookmarkStart w:id="11" w:name="_Toc229141295"/>
      <w:r>
        <w:t>Lubatavad tehnilised meetmed</w:t>
      </w:r>
      <w:bookmarkEnd w:id="11"/>
    </w:p>
    <w:p w14:paraId="09443BC0" w14:textId="459D3A9E" w:rsidR="00A10E39" w:rsidRDefault="00A10E39" w:rsidP="00A10E39">
      <w:pPr>
        <w:pStyle w:val="Listtasand3"/>
      </w:pPr>
      <w:r>
        <w:t xml:space="preserve">IP-blokeerimine on kasutusel mõnes </w:t>
      </w:r>
      <w:proofErr w:type="spellStart"/>
      <w:r>
        <w:t>LR-s</w:t>
      </w:r>
      <w:proofErr w:type="spellEnd"/>
      <w:r>
        <w:t xml:space="preserve">, kuid nagu mainitud, kaasneb sellega </w:t>
      </w:r>
      <w:proofErr w:type="spellStart"/>
      <w:r>
        <w:t>üleblokeerimise</w:t>
      </w:r>
      <w:proofErr w:type="spellEnd"/>
      <w:r>
        <w:t xml:space="preserve"> oht. </w:t>
      </w:r>
      <w:r w:rsidR="000B1240">
        <w:t>Näiteks on Itaalia</w:t>
      </w:r>
      <w:r w:rsidR="002D406D">
        <w:t xml:space="preserve"> puhul esile toodud asjaolu</w:t>
      </w:r>
      <w:r w:rsidR="00F5045F">
        <w:t>,</w:t>
      </w:r>
      <w:r w:rsidR="002D406D">
        <w:t xml:space="preserve"> et </w:t>
      </w:r>
      <w:r w:rsidR="004D1E15">
        <w:t xml:space="preserve">nende </w:t>
      </w:r>
      <w:proofErr w:type="spellStart"/>
      <w:r w:rsidR="00F5045F">
        <w:t>Piracy</w:t>
      </w:r>
      <w:proofErr w:type="spellEnd"/>
      <w:r w:rsidR="00F5045F">
        <w:t xml:space="preserve"> </w:t>
      </w:r>
      <w:proofErr w:type="spellStart"/>
      <w:r w:rsidR="00F5045F">
        <w:t>Shield</w:t>
      </w:r>
      <w:proofErr w:type="spellEnd"/>
      <w:r w:rsidR="00F5045F">
        <w:t xml:space="preserve"> </w:t>
      </w:r>
      <w:r w:rsidR="004D1E15">
        <w:t>lahendusega (</w:t>
      </w:r>
      <w:r w:rsidR="002D406D">
        <w:t>IP-blokeerimi</w:t>
      </w:r>
      <w:r w:rsidR="004D1E15">
        <w:t xml:space="preserve">ne) kaasneb </w:t>
      </w:r>
      <w:proofErr w:type="spellStart"/>
      <w:r w:rsidR="004D1E15">
        <w:t>üleblokeerimine</w:t>
      </w:r>
      <w:proofErr w:type="spellEnd"/>
      <w:r w:rsidR="004D1E15">
        <w:t>.</w:t>
      </w:r>
      <w:r w:rsidR="004D1E15">
        <w:rPr>
          <w:rStyle w:val="FootnoteReference"/>
        </w:rPr>
        <w:footnoteReference w:id="64"/>
      </w:r>
      <w:r w:rsidR="00E71325">
        <w:t xml:space="preserve"> Samuti </w:t>
      </w:r>
      <w:r w:rsidR="006C08B4">
        <w:t xml:space="preserve">kasutati </w:t>
      </w:r>
      <w:r w:rsidR="00E71325">
        <w:t xml:space="preserve">Hispaanias </w:t>
      </w:r>
      <w:proofErr w:type="spellStart"/>
      <w:r w:rsidR="00E71325">
        <w:t>LaLiga</w:t>
      </w:r>
      <w:proofErr w:type="spellEnd"/>
      <w:r w:rsidR="00E71325">
        <w:t xml:space="preserve"> kaasuses </w:t>
      </w:r>
      <w:r w:rsidR="00B71E18">
        <w:t xml:space="preserve">IP-blokeerimist, mis väidetavalt </w:t>
      </w:r>
      <w:r w:rsidR="0005514C">
        <w:t>blokeeris paljud mitteseotud veebilehed</w:t>
      </w:r>
      <w:r w:rsidR="009A05D5">
        <w:t>, kus oli seaduslikult kättesaadav sisu</w:t>
      </w:r>
      <w:r w:rsidR="0005514C">
        <w:t>.</w:t>
      </w:r>
      <w:r w:rsidR="0005514C">
        <w:rPr>
          <w:rStyle w:val="FootnoteReference"/>
        </w:rPr>
        <w:footnoteReference w:id="65"/>
      </w:r>
      <w:r w:rsidR="009A05D5">
        <w:t xml:space="preserve"> Seega, kuigi </w:t>
      </w:r>
      <w:r w:rsidR="00C624B8">
        <w:t xml:space="preserve">IP-blokeerimine on </w:t>
      </w:r>
      <w:r w:rsidR="00644C29">
        <w:t xml:space="preserve">praktikas osutunud </w:t>
      </w:r>
      <w:r w:rsidR="00C624B8">
        <w:t>võimalik</w:t>
      </w:r>
      <w:r w:rsidR="00644C29">
        <w:t>uks</w:t>
      </w:r>
      <w:r w:rsidR="00C624B8">
        <w:t xml:space="preserve"> ja võib aidata </w:t>
      </w:r>
      <w:r w:rsidR="00644C29">
        <w:t xml:space="preserve">kaasa </w:t>
      </w:r>
      <w:r w:rsidR="00C624B8">
        <w:t>soovitud eesmärgi</w:t>
      </w:r>
      <w:r w:rsidR="00644C29">
        <w:t xml:space="preserve"> saavutamisele, näitab LR-de praktika, et </w:t>
      </w:r>
      <w:r w:rsidR="00044F56">
        <w:t xml:space="preserve">kaasneb reaalne </w:t>
      </w:r>
      <w:proofErr w:type="spellStart"/>
      <w:r w:rsidR="00044F56">
        <w:t>üleblokeerimise</w:t>
      </w:r>
      <w:proofErr w:type="spellEnd"/>
      <w:r w:rsidR="00044F56">
        <w:t xml:space="preserve"> oht.</w:t>
      </w:r>
    </w:p>
    <w:p w14:paraId="4CFE6214" w14:textId="039637AE" w:rsidR="00A10E39" w:rsidRDefault="00A10E39" w:rsidP="00A10E39">
      <w:pPr>
        <w:pStyle w:val="Listtasand3"/>
      </w:pPr>
      <w:r>
        <w:t>URL-blokeerimi</w:t>
      </w:r>
      <w:r w:rsidR="00F7720D">
        <w:t>s</w:t>
      </w:r>
      <w:r w:rsidR="00402545">
        <w:t>e</w:t>
      </w:r>
      <w:r w:rsidR="00F7720D">
        <w:t xml:space="preserve"> kohta on kommenteeritud, et see</w:t>
      </w:r>
      <w:r w:rsidR="00402545">
        <w:t xml:space="preserve"> on ISP-de</w:t>
      </w:r>
      <w:r w:rsidR="00F7720D">
        <w:t xml:space="preserve"> jaoks variantidest kõige</w:t>
      </w:r>
      <w:r w:rsidR="00402545">
        <w:t xml:space="preserve"> kulukam, kuna </w:t>
      </w:r>
      <w:r w:rsidR="00F7720D">
        <w:t>nõuab ressursimahukate tehniliste meetmete kasutuselevõttu.</w:t>
      </w:r>
      <w:r w:rsidR="00EA6CDC">
        <w:rPr>
          <w:rStyle w:val="FootnoteReference"/>
        </w:rPr>
        <w:footnoteReference w:id="66"/>
      </w:r>
      <w:r w:rsidR="00F7720D">
        <w:t xml:space="preserve"> </w:t>
      </w:r>
      <w:r w:rsidR="00521217">
        <w:t>SPI</w:t>
      </w:r>
      <w:r w:rsidR="00C51EC9">
        <w:t xml:space="preserve"> ei pruugi saavutada soovitud lahendust ja DPI võib osutuda ebaproportsionaalselt koormavaks. Seega ei ole URL-blokeerimine otstarbekaim lahendus, </w:t>
      </w:r>
      <w:r w:rsidR="00351422">
        <w:t xml:space="preserve">mida ilmestab asjaolu, et </w:t>
      </w:r>
      <w:r w:rsidR="00C51EC9">
        <w:t xml:space="preserve">seda pole ka EL LR-des valdavalt kasutatud. </w:t>
      </w:r>
      <w:r>
        <w:t xml:space="preserve">Hetkel näib, et soovitud eesmärki saab saavutada ka siis, kui võtta kasutusele üksnes DNS-blokeerimine. </w:t>
      </w:r>
    </w:p>
    <w:p w14:paraId="5B284DDD" w14:textId="393B3C85" w:rsidR="00674A30" w:rsidRDefault="00EC4AC0" w:rsidP="00A10E39">
      <w:pPr>
        <w:pStyle w:val="Listtasand3"/>
      </w:pPr>
      <w:r>
        <w:t xml:space="preserve">Üldise märkusena on </w:t>
      </w:r>
      <w:r w:rsidRPr="00EC4AC0">
        <w:t>mõistlik</w:t>
      </w:r>
      <w:r>
        <w:t>, kui</w:t>
      </w:r>
      <w:r w:rsidRPr="00EC4AC0">
        <w:t xml:space="preserve"> veebisisu piiramise protsess</w:t>
      </w:r>
      <w:r>
        <w:t>i</w:t>
      </w:r>
      <w:r w:rsidRPr="00EC4AC0">
        <w:t xml:space="preserve"> hoida eri seadustes sarna</w:t>
      </w:r>
      <w:r>
        <w:t>sena</w:t>
      </w:r>
      <w:r w:rsidRPr="00EC4AC0">
        <w:t xml:space="preserve">. Seetõttu </w:t>
      </w:r>
      <w:r>
        <w:t xml:space="preserve">võiks </w:t>
      </w:r>
      <w:r w:rsidRPr="00EC4AC0">
        <w:t>poolda</w:t>
      </w:r>
      <w:r>
        <w:t>da</w:t>
      </w:r>
      <w:r w:rsidRPr="00EC4AC0">
        <w:t xml:space="preserve"> DNS-blokeerimist</w:t>
      </w:r>
      <w:r>
        <w:t xml:space="preserve">, </w:t>
      </w:r>
      <w:r w:rsidR="00DA03A9">
        <w:t xml:space="preserve">mis on Eestis veebisisu blokeerimiseks kasutust leidnud. </w:t>
      </w:r>
      <w:r w:rsidR="00DA03A9" w:rsidRPr="00DA03A9">
        <w:t xml:space="preserve">DNS blokeerimine </w:t>
      </w:r>
      <w:r w:rsidR="001D0ECB">
        <w:t>on</w:t>
      </w:r>
      <w:r w:rsidR="00DA03A9" w:rsidRPr="00DA03A9">
        <w:t xml:space="preserve"> </w:t>
      </w:r>
      <w:r w:rsidR="001D0ECB">
        <w:t>toiminud</w:t>
      </w:r>
      <w:r w:rsidR="00DA03A9" w:rsidRPr="00DA03A9">
        <w:t xml:space="preserve"> nii </w:t>
      </w:r>
      <w:proofErr w:type="spellStart"/>
      <w:r w:rsidR="00704303">
        <w:t>InfoTS</w:t>
      </w:r>
      <w:proofErr w:type="spellEnd"/>
      <w:r w:rsidR="00DA03A9" w:rsidRPr="00DA03A9">
        <w:t xml:space="preserve"> kui </w:t>
      </w:r>
      <w:r w:rsidR="00704303">
        <w:t>ka TAKS</w:t>
      </w:r>
      <w:r w:rsidR="00DA03A9" w:rsidRPr="00DA03A9">
        <w:t xml:space="preserve"> puhul. Ka kohtuvaidlusi </w:t>
      </w:r>
      <w:r w:rsidR="001D0ECB" w:rsidRPr="00DA03A9">
        <w:t xml:space="preserve">pole olnud </w:t>
      </w:r>
      <w:r w:rsidR="00DA03A9" w:rsidRPr="00DA03A9">
        <w:t xml:space="preserve">kummagi seaduse alusel teostatud blokeerimiste </w:t>
      </w:r>
      <w:r w:rsidR="00AB282B">
        <w:t>üle</w:t>
      </w:r>
      <w:r w:rsidR="00704303">
        <w:t>.</w:t>
      </w:r>
      <w:r>
        <w:t xml:space="preserve"> </w:t>
      </w:r>
      <w:r w:rsidR="00562985" w:rsidRPr="00562985">
        <w:t xml:space="preserve">Ühtne protsess </w:t>
      </w:r>
      <w:r w:rsidR="00562985">
        <w:t xml:space="preserve">võiks </w:t>
      </w:r>
      <w:r w:rsidR="00562985" w:rsidRPr="00562985">
        <w:t>vähenda</w:t>
      </w:r>
      <w:r w:rsidR="00562985">
        <w:t>da</w:t>
      </w:r>
      <w:r w:rsidR="00562985" w:rsidRPr="00562985">
        <w:t xml:space="preserve"> eksitusi nii ettekirjutuse andja kui </w:t>
      </w:r>
      <w:r w:rsidR="001D0ECB">
        <w:t xml:space="preserve">ka </w:t>
      </w:r>
      <w:r w:rsidR="00562985" w:rsidRPr="00562985">
        <w:t xml:space="preserve">adressaadi (nt ISP) poolel. Samuti tagab sarnane blokeerimismeetmete kasutamine eri valdkondades tõenäoliselt, et adressaadil on võimalik ettekirjutus kiiremini </w:t>
      </w:r>
      <w:r w:rsidR="00DE60FA">
        <w:t xml:space="preserve">ja tõhusamalt </w:t>
      </w:r>
      <w:r w:rsidR="00562985" w:rsidRPr="00562985">
        <w:t>täita</w:t>
      </w:r>
      <w:r w:rsidR="00562985">
        <w:t>.</w:t>
      </w:r>
    </w:p>
    <w:p w14:paraId="3511FBE5" w14:textId="77777777" w:rsidR="007F700C" w:rsidRDefault="00562985" w:rsidP="007F700C">
      <w:pPr>
        <w:pStyle w:val="Listtasand3"/>
      </w:pPr>
      <w:r>
        <w:t>T</w:t>
      </w:r>
      <w:r w:rsidRPr="00562985">
        <w:t xml:space="preserve">asuks </w:t>
      </w:r>
      <w:r>
        <w:t xml:space="preserve">veel </w:t>
      </w:r>
      <w:r w:rsidRPr="00562985">
        <w:t xml:space="preserve">kaaluda, kas lisaks DNS blokeerimisele tuleks meetmed ette näha ka otsingumootorite ja rakendusepoodide jaoks, nt </w:t>
      </w:r>
      <w:proofErr w:type="spellStart"/>
      <w:r w:rsidRPr="00562985">
        <w:t>delistimine</w:t>
      </w:r>
      <w:proofErr w:type="spellEnd"/>
      <w:r w:rsidRPr="00562985">
        <w:t xml:space="preserve"> otsingutulemustest</w:t>
      </w:r>
      <w:r w:rsidR="00A45473">
        <w:t xml:space="preserve"> ja</w:t>
      </w:r>
      <w:r w:rsidRPr="00562985">
        <w:t xml:space="preserve"> rakendusepoest rakenduse eemaldamine</w:t>
      </w:r>
      <w:r>
        <w:t xml:space="preserve">. </w:t>
      </w:r>
      <w:r w:rsidR="00FB5D20">
        <w:t>Näiteks on Prantsusmaal antud ettekirjutusi, kus adressaat peab Google otsingumootori</w:t>
      </w:r>
      <w:r w:rsidR="00250BC1">
        <w:t xml:space="preserve"> tulemustest</w:t>
      </w:r>
      <w:r w:rsidR="00FB5D20">
        <w:t xml:space="preserve"> </w:t>
      </w:r>
      <w:proofErr w:type="spellStart"/>
      <w:r w:rsidR="00FB5D20">
        <w:t>delistima</w:t>
      </w:r>
      <w:proofErr w:type="spellEnd"/>
      <w:r w:rsidR="00FB5D20">
        <w:t xml:space="preserve"> </w:t>
      </w:r>
      <w:r w:rsidR="00250BC1">
        <w:t xml:space="preserve">ettekirjutuses loetletud veebilehed, aga ka </w:t>
      </w:r>
      <w:r w:rsidR="0090119C">
        <w:t>uued domeeninimed, mida adressaat on tehniliselt võimeline tuvastama.</w:t>
      </w:r>
      <w:r w:rsidR="00FB5D20">
        <w:rPr>
          <w:rStyle w:val="FootnoteReference"/>
        </w:rPr>
        <w:footnoteReference w:id="67"/>
      </w:r>
      <w:r w:rsidR="007F700C" w:rsidRPr="007F700C">
        <w:t xml:space="preserve"> </w:t>
      </w:r>
    </w:p>
    <w:p w14:paraId="4DD4B063" w14:textId="59CDC8ED" w:rsidR="00201A82" w:rsidRDefault="00201A82" w:rsidP="00201A82">
      <w:pPr>
        <w:pStyle w:val="Listtasand3"/>
      </w:pPr>
      <w:r>
        <w:t>Kui kasutaja proovib pääseda ligi blokeeritud veebilehele, võiks kaaluda automaatset ümber suunamise süsteemi, millisel juhul kuvatakse kasutajale info, kus on loetletud allikad, mille kaudu pääseb seaduslikult sisule ligi.</w:t>
      </w:r>
      <w:r>
        <w:rPr>
          <w:rStyle w:val="FootnoteReference"/>
        </w:rPr>
        <w:footnoteReference w:id="68"/>
      </w:r>
    </w:p>
    <w:p w14:paraId="0019CF68" w14:textId="051BFAF2" w:rsidR="0018567E" w:rsidRDefault="007F700C" w:rsidP="00CA53B1">
      <w:pPr>
        <w:pStyle w:val="Listtasand3"/>
      </w:pPr>
      <w:r>
        <w:t xml:space="preserve">Laias laastus jagunevad ettekirjutused staatilisteks, dünaamilisteks ja </w:t>
      </w:r>
      <w:proofErr w:type="spellStart"/>
      <w:r>
        <w:t>live</w:t>
      </w:r>
      <w:proofErr w:type="spellEnd"/>
      <w:r>
        <w:t xml:space="preserve">-ettekirjutusteks. Kui Eesti õiguses täpsustada ettekirjutuse andmise korda, võiks ette näha, milliseid ettekirjutusi saab anda. Võimalik on variant, et algselt nähakse ette vaid </w:t>
      </w:r>
      <w:r w:rsidRPr="00841C33">
        <w:t>staatilis</w:t>
      </w:r>
      <w:r>
        <w:t>te ja</w:t>
      </w:r>
      <w:r w:rsidRPr="00841C33">
        <w:t xml:space="preserve"> dünaamilis</w:t>
      </w:r>
      <w:r>
        <w:t xml:space="preserve">te ettekirjutuste tegemise võimekus, kuna </w:t>
      </w:r>
      <w:proofErr w:type="spellStart"/>
      <w:r>
        <w:t>live</w:t>
      </w:r>
      <w:proofErr w:type="spellEnd"/>
      <w:r>
        <w:t>-ettekirjutuste andmine eeldaks juba rohket ressurssi ja pidevat valmisolekut blokeerimistaotluste operatiivseks menetlemiseks/jõustamiseks.</w:t>
      </w:r>
    </w:p>
    <w:p w14:paraId="28EA1252" w14:textId="0ED08A4C" w:rsidR="00A10E39" w:rsidRPr="00A10E39" w:rsidRDefault="00930EBA" w:rsidP="00B46D6A">
      <w:pPr>
        <w:pStyle w:val="Ksimus"/>
      </w:pPr>
      <w:r>
        <w:t>K</w:t>
      </w:r>
      <w:r w:rsidR="00A10E39" w:rsidRPr="00A10E39">
        <w:t xml:space="preserve">as Eestis peaks nägema ette üksnes DNS-blokeerimise või </w:t>
      </w:r>
      <w:r w:rsidR="00A10E39">
        <w:t xml:space="preserve">tuleks ette näha </w:t>
      </w:r>
      <w:r w:rsidR="00A10E39" w:rsidRPr="00A10E39">
        <w:t>täiendavad tehnilised meetmed</w:t>
      </w:r>
      <w:r w:rsidR="00A10E39">
        <w:t xml:space="preserve"> veebisisu blokeerimiseks</w:t>
      </w:r>
      <w:r w:rsidR="00A10E39" w:rsidRPr="00A10E39">
        <w:t>?</w:t>
      </w:r>
      <w:r w:rsidR="00283F8D">
        <w:t xml:space="preserve"> Kas Eestis peaks ette nägema </w:t>
      </w:r>
      <w:r w:rsidR="001D52B3">
        <w:t xml:space="preserve">vaid </w:t>
      </w:r>
      <w:r w:rsidR="00283F8D" w:rsidRPr="00283F8D">
        <w:t>staatilis</w:t>
      </w:r>
      <w:r w:rsidR="00283F8D">
        <w:t>ed</w:t>
      </w:r>
      <w:r w:rsidR="00095288">
        <w:t xml:space="preserve"> ja</w:t>
      </w:r>
      <w:r w:rsidR="00283F8D" w:rsidRPr="00283F8D">
        <w:t xml:space="preserve"> dünaamilis</w:t>
      </w:r>
      <w:r w:rsidR="00095288">
        <w:t>ed</w:t>
      </w:r>
      <w:r w:rsidR="00283F8D" w:rsidRPr="00283F8D">
        <w:t xml:space="preserve"> </w:t>
      </w:r>
      <w:r w:rsidR="00095288">
        <w:t>või</w:t>
      </w:r>
      <w:r w:rsidR="00283F8D" w:rsidRPr="00283F8D">
        <w:t xml:space="preserve"> </w:t>
      </w:r>
      <w:r w:rsidR="00283F8D">
        <w:t xml:space="preserve">ka </w:t>
      </w:r>
      <w:proofErr w:type="spellStart"/>
      <w:r w:rsidR="00283F8D" w:rsidRPr="00283F8D">
        <w:t>live</w:t>
      </w:r>
      <w:proofErr w:type="spellEnd"/>
      <w:r w:rsidR="00283F8D" w:rsidRPr="00283F8D">
        <w:t>-ettekirjutus</w:t>
      </w:r>
      <w:r w:rsidR="00095288">
        <w:t>ed?</w:t>
      </w:r>
    </w:p>
    <w:p w14:paraId="26100DA6" w14:textId="7C8B694A" w:rsidR="00402A0F" w:rsidRDefault="00402A0F" w:rsidP="00CB365C">
      <w:pPr>
        <w:pStyle w:val="Listtasand2"/>
      </w:pPr>
      <w:bookmarkStart w:id="12" w:name="_Toc229141296"/>
      <w:r>
        <w:t xml:space="preserve">Kas </w:t>
      </w:r>
      <w:r w:rsidR="00952FFC">
        <w:t>ettekirjutuses on tehnilised vahendid määratlemata või kindlaks määratud</w:t>
      </w:r>
      <w:bookmarkEnd w:id="12"/>
    </w:p>
    <w:p w14:paraId="1448DD54" w14:textId="596A3CA2" w:rsidR="00952FFC" w:rsidRDefault="007F1075" w:rsidP="00952FFC">
      <w:pPr>
        <w:pStyle w:val="Listtasand3"/>
      </w:pPr>
      <w:r>
        <w:t>Mõnedes LR-des (nt Austria)</w:t>
      </w:r>
      <w:r w:rsidR="000B49DD">
        <w:rPr>
          <w:rStyle w:val="FootnoteReference"/>
        </w:rPr>
        <w:footnoteReference w:id="69"/>
      </w:r>
      <w:r w:rsidR="00302717">
        <w:t xml:space="preserve"> </w:t>
      </w:r>
      <w:r w:rsidR="00265B6B">
        <w:t xml:space="preserve">on </w:t>
      </w:r>
      <w:r w:rsidR="00302717">
        <w:t>kasuta</w:t>
      </w:r>
      <w:r w:rsidR="00265B6B">
        <w:t>tud</w:t>
      </w:r>
      <w:r w:rsidR="00302717">
        <w:t xml:space="preserve"> </w:t>
      </w:r>
      <w:r w:rsidR="00265B6B">
        <w:t xml:space="preserve">ettekirjutusi, milles ei ole täpsustatud, milliste tehniliste vahenditega tuleb veebisisu blokeerida. </w:t>
      </w:r>
      <w:r w:rsidR="001D5C95">
        <w:t xml:space="preserve">Teistes LR-des nähakse konkreetselt ette, kas </w:t>
      </w:r>
      <w:r w:rsidR="002C1F48">
        <w:t xml:space="preserve">kasutatakse DNS- või IP-põhist blokeerimist. </w:t>
      </w:r>
    </w:p>
    <w:p w14:paraId="65B39EF2" w14:textId="60EB4389" w:rsidR="002C1F48" w:rsidRDefault="002C1F48" w:rsidP="00952FFC">
      <w:pPr>
        <w:pStyle w:val="Listtasand3"/>
      </w:pPr>
      <w:r>
        <w:t xml:space="preserve">Iseenesest oleks </w:t>
      </w:r>
      <w:r w:rsidR="008939F2">
        <w:t xml:space="preserve">üks variant jätta </w:t>
      </w:r>
      <w:proofErr w:type="spellStart"/>
      <w:r w:rsidR="008939F2">
        <w:t>ISP-le</w:t>
      </w:r>
      <w:proofErr w:type="spellEnd"/>
      <w:r w:rsidR="008939F2">
        <w:t xml:space="preserve"> lahtiseks, </w:t>
      </w:r>
      <w:r w:rsidR="00650AE4">
        <w:t xml:space="preserve">milliste vahenditega veebisisu blokeerida. </w:t>
      </w:r>
      <w:r w:rsidR="00F22491">
        <w:t xml:space="preserve">Sellisel juhul on ISP ise </w:t>
      </w:r>
      <w:r w:rsidR="004116DF">
        <w:t xml:space="preserve">pädev otsustama, millised on sobivad vahendid just etteantud asjaoludel veebisisu blokeerimiseks. </w:t>
      </w:r>
      <w:r w:rsidR="00113317">
        <w:t>Samas võib kaasneda risk, et</w:t>
      </w:r>
      <w:r w:rsidR="00475846">
        <w:t xml:space="preserve"> kuna ettekirjutused peavad olema proportsionaalsed, peab</w:t>
      </w:r>
      <w:r w:rsidR="00113317">
        <w:t xml:space="preserve"> ISP </w:t>
      </w:r>
      <w:r w:rsidR="00475846">
        <w:t>ise proportsionaalsust hindama, kuigi tal ei pruugi selleks olla piisavat pädevust.</w:t>
      </w:r>
      <w:r w:rsidR="00113317">
        <w:t xml:space="preserve"> </w:t>
      </w:r>
      <w:r w:rsidR="00475846">
        <w:t xml:space="preserve">Näiteks </w:t>
      </w:r>
      <w:r w:rsidR="000335AD">
        <w:t>edastatakse</w:t>
      </w:r>
      <w:r w:rsidR="00475846">
        <w:t xml:space="preserve"> </w:t>
      </w:r>
      <w:proofErr w:type="spellStart"/>
      <w:r w:rsidR="006E69BD">
        <w:t>ISP-le</w:t>
      </w:r>
      <w:proofErr w:type="spellEnd"/>
      <w:r w:rsidR="006E69BD">
        <w:t xml:space="preserve"> korraldus</w:t>
      </w:r>
      <w:r w:rsidR="000335AD">
        <w:t xml:space="preserve"> </w:t>
      </w:r>
      <w:r w:rsidR="006E69BD">
        <w:t xml:space="preserve">blokeerida ligipääs </w:t>
      </w:r>
      <w:r w:rsidR="00275C10">
        <w:t xml:space="preserve">konkreetsele </w:t>
      </w:r>
      <w:r w:rsidR="006E69BD">
        <w:t>veebilehele</w:t>
      </w:r>
      <w:r w:rsidR="004C3C4B">
        <w:t xml:space="preserve">. </w:t>
      </w:r>
      <w:r w:rsidR="001316C0">
        <w:t>ISP kasutab IP-blokeerimist</w:t>
      </w:r>
      <w:r w:rsidR="00924BAE">
        <w:t xml:space="preserve">, mille </w:t>
      </w:r>
      <w:r w:rsidR="001A2341">
        <w:t xml:space="preserve">mõju on, et </w:t>
      </w:r>
      <w:r w:rsidR="00924BAE">
        <w:t xml:space="preserve">lisaks kõnealusele veebilehele blokeerib </w:t>
      </w:r>
      <w:r w:rsidR="001A2341">
        <w:t xml:space="preserve">ISP </w:t>
      </w:r>
      <w:r w:rsidR="00924BAE">
        <w:t>ligi</w:t>
      </w:r>
      <w:r w:rsidR="001A2341">
        <w:t xml:space="preserve">pääsu mitmetele teistele veebilehtedele, mis on seotud sama IP-aadressiga. Soovitud tulemust </w:t>
      </w:r>
      <w:r w:rsidR="00F850A3">
        <w:t>oleks</w:t>
      </w:r>
      <w:r w:rsidR="00CE051F">
        <w:t xml:space="preserve"> võimalik</w:t>
      </w:r>
      <w:r w:rsidR="00EB139C">
        <w:t xml:space="preserve"> saavutada ka DNS-blokeerimis</w:t>
      </w:r>
      <w:r w:rsidR="006E08FA">
        <w:t>t kasutades</w:t>
      </w:r>
      <w:r w:rsidR="00D804BB">
        <w:t xml:space="preserve">, ilma et </w:t>
      </w:r>
      <w:r w:rsidR="004945AB">
        <w:t>asjasse mittepuutuvat veebisisu</w:t>
      </w:r>
      <w:r w:rsidR="006E08FA">
        <w:t xml:space="preserve"> </w:t>
      </w:r>
      <w:r w:rsidR="006E08FA" w:rsidRPr="006E08FA">
        <w:t>blokeeritaks soovimatult</w:t>
      </w:r>
      <w:r w:rsidR="00E44FEE">
        <w:t xml:space="preserve">. </w:t>
      </w:r>
      <w:r w:rsidR="00E25C05">
        <w:t>Proportsionaalsus</w:t>
      </w:r>
      <w:r w:rsidR="00AC0A6C">
        <w:t>t silmas pidades</w:t>
      </w:r>
      <w:r w:rsidR="00E25C05">
        <w:t xml:space="preserve"> </w:t>
      </w:r>
      <w:r w:rsidR="00560FD2">
        <w:t>võiks kaaluda Eestis</w:t>
      </w:r>
      <w:r w:rsidR="00E67B49">
        <w:t xml:space="preserve"> </w:t>
      </w:r>
      <w:r w:rsidR="00560FD2">
        <w:t>lahendust</w:t>
      </w:r>
      <w:r w:rsidR="00AC0A6C">
        <w:t>, ku</w:t>
      </w:r>
      <w:r w:rsidR="00560FD2">
        <w:t>s</w:t>
      </w:r>
      <w:r w:rsidR="00AC0A6C">
        <w:t xml:space="preserve"> </w:t>
      </w:r>
      <w:r w:rsidR="00560FD2">
        <w:t>pädev asutus määrab ise</w:t>
      </w:r>
      <w:r w:rsidR="009062BA">
        <w:t xml:space="preserve"> sobivad tehnilised vahendid. </w:t>
      </w:r>
      <w:r w:rsidR="00552D80">
        <w:t xml:space="preserve">Samuti tuleks arvestada, et </w:t>
      </w:r>
      <w:r w:rsidR="00552D80" w:rsidRPr="00552D80">
        <w:t xml:space="preserve">Eestis on </w:t>
      </w:r>
      <w:r w:rsidR="00552D80">
        <w:t>mitmeid</w:t>
      </w:r>
      <w:r w:rsidR="00552D80" w:rsidRPr="00552D80">
        <w:t xml:space="preserve"> väikseid </w:t>
      </w:r>
      <w:proofErr w:type="spellStart"/>
      <w:r w:rsidR="00552D80" w:rsidRPr="00552D80">
        <w:t>ISP-sid</w:t>
      </w:r>
      <w:proofErr w:type="spellEnd"/>
      <w:r w:rsidR="00552D80" w:rsidRPr="00552D80">
        <w:t xml:space="preserve">, kelle jaoks </w:t>
      </w:r>
      <w:r w:rsidR="00552D80">
        <w:t xml:space="preserve">on </w:t>
      </w:r>
      <w:r w:rsidR="00552D80" w:rsidRPr="00552D80">
        <w:t xml:space="preserve">vähem koormav lahendus, </w:t>
      </w:r>
      <w:r w:rsidR="006B1661">
        <w:t xml:space="preserve">kui </w:t>
      </w:r>
      <w:r w:rsidR="00552D80" w:rsidRPr="00552D80">
        <w:t xml:space="preserve">eri valdkondades </w:t>
      </w:r>
      <w:r w:rsidR="00552D80">
        <w:t xml:space="preserve">kasutatakse </w:t>
      </w:r>
      <w:r w:rsidR="006B1661" w:rsidRPr="00552D80">
        <w:t>blokeerimis</w:t>
      </w:r>
      <w:r w:rsidR="006B1661">
        <w:t>eks</w:t>
      </w:r>
      <w:r w:rsidR="006B1661" w:rsidRPr="00552D80">
        <w:t xml:space="preserve"> </w:t>
      </w:r>
      <w:r w:rsidR="00552D80" w:rsidRPr="00552D80">
        <w:t xml:space="preserve">sama </w:t>
      </w:r>
      <w:r w:rsidR="001C5C0F">
        <w:t xml:space="preserve">tehnilist meetodit </w:t>
      </w:r>
      <w:r w:rsidR="00552D80" w:rsidRPr="00552D80">
        <w:t>ning ISP-</w:t>
      </w:r>
      <w:proofErr w:type="spellStart"/>
      <w:r w:rsidR="001C5C0F">
        <w:t>dele</w:t>
      </w:r>
      <w:proofErr w:type="spellEnd"/>
      <w:r w:rsidR="001C5C0F">
        <w:t xml:space="preserve"> antakse</w:t>
      </w:r>
      <w:r w:rsidR="00552D80" w:rsidRPr="00552D80">
        <w:t xml:space="preserve"> </w:t>
      </w:r>
      <w:r w:rsidR="001C5C0F">
        <w:t xml:space="preserve">täpsed juhised, mida neilt </w:t>
      </w:r>
      <w:r w:rsidR="00552D80" w:rsidRPr="00552D80">
        <w:t>oodatakse.</w:t>
      </w:r>
    </w:p>
    <w:p w14:paraId="39EB290C" w14:textId="1B90A47A" w:rsidR="004B225A" w:rsidRPr="00C04000" w:rsidRDefault="00930EBA" w:rsidP="00B46D6A">
      <w:pPr>
        <w:pStyle w:val="Ksimus"/>
      </w:pPr>
      <w:r>
        <w:t>K</w:t>
      </w:r>
      <w:r w:rsidR="004B225A" w:rsidRPr="00C04000">
        <w:t xml:space="preserve">as </w:t>
      </w:r>
      <w:r w:rsidR="00C04000" w:rsidRPr="00C04000">
        <w:t>Eestis peaks ettekirjutus</w:t>
      </w:r>
      <w:r w:rsidR="00C04000">
        <w:t>e</w:t>
      </w:r>
      <w:r w:rsidR="00C04000" w:rsidRPr="00C04000">
        <w:t xml:space="preserve"> </w:t>
      </w:r>
      <w:r w:rsidR="00310F0F">
        <w:t>adressaadile</w:t>
      </w:r>
      <w:r w:rsidR="00C04000" w:rsidRPr="00C04000">
        <w:t xml:space="preserve"> ette nägema konkreetsed tehnilised </w:t>
      </w:r>
      <w:r w:rsidR="00A10E39">
        <w:t>meetmed veebisisu blokeerimiseks</w:t>
      </w:r>
      <w:r w:rsidR="00EA36F3">
        <w:t xml:space="preserve"> (küsimus ei ole relevantne, kui nähakse ette ainult üks sobiv tehniline meede, nt </w:t>
      </w:r>
      <w:r w:rsidR="00F203CA">
        <w:t>DNS-blokeerimine</w:t>
      </w:r>
      <w:r w:rsidR="00EA36F3">
        <w:t>)?</w:t>
      </w:r>
    </w:p>
    <w:p w14:paraId="2F3E81C3" w14:textId="7921A998" w:rsidR="0043310E" w:rsidRDefault="00993C50" w:rsidP="00CB365C">
      <w:pPr>
        <w:pStyle w:val="Listtasand2"/>
      </w:pPr>
      <w:bookmarkStart w:id="13" w:name="_Toc229141297"/>
      <w:r>
        <w:t>Ajaline piir</w:t>
      </w:r>
      <w:r w:rsidR="00AB611F">
        <w:t xml:space="preserve"> ja meetme asjakohasuse hindamine</w:t>
      </w:r>
      <w:bookmarkEnd w:id="13"/>
    </w:p>
    <w:p w14:paraId="38E734B0" w14:textId="6A14F3E0" w:rsidR="00993C50" w:rsidRDefault="006C1F51" w:rsidP="00993C50">
      <w:pPr>
        <w:pStyle w:val="Listtasand3"/>
      </w:pPr>
      <w:r>
        <w:t>Osades</w:t>
      </w:r>
      <w:r w:rsidR="00C32243">
        <w:t xml:space="preserve"> LR-des on </w:t>
      </w:r>
      <w:r w:rsidR="00087810">
        <w:t xml:space="preserve">ettekirjutustele ette nähtud </w:t>
      </w:r>
      <w:r w:rsidR="00C32243">
        <w:t>ajaline piir</w:t>
      </w:r>
      <w:r w:rsidR="000E09C6">
        <w:t>, pärast mida kaotab ettekirjutus kehtivuse</w:t>
      </w:r>
      <w:r w:rsidR="00C32243">
        <w:t xml:space="preserve">. Näiteks </w:t>
      </w:r>
      <w:r w:rsidR="00087810">
        <w:t>Prantsusmaal kehtib ettekirjutus 18 kuud, Kreekas</w:t>
      </w:r>
      <w:r w:rsidR="001A7518">
        <w:t xml:space="preserve"> on </w:t>
      </w:r>
      <w:r w:rsidR="0067469E">
        <w:t>ettekirjutus</w:t>
      </w:r>
      <w:r w:rsidR="00087810">
        <w:t xml:space="preserve"> </w:t>
      </w:r>
      <w:r w:rsidR="001928E2">
        <w:t>IP-blokeerimise</w:t>
      </w:r>
      <w:r w:rsidR="0067469E">
        <w:t xml:space="preserve"> puhul</w:t>
      </w:r>
      <w:r w:rsidR="001928E2">
        <w:t xml:space="preserve"> kuni 6 kuud, DNS-blokeerimise</w:t>
      </w:r>
      <w:r w:rsidR="0067469E">
        <w:t xml:space="preserve"> puhul</w:t>
      </w:r>
      <w:r w:rsidR="001928E2">
        <w:t xml:space="preserve"> mitte vähem kui 3 aastat</w:t>
      </w:r>
      <w:r w:rsidR="0067469E">
        <w:t xml:space="preserve">. Iirimaal kehtivad </w:t>
      </w:r>
      <w:proofErr w:type="spellStart"/>
      <w:r w:rsidR="0067469E">
        <w:t>live</w:t>
      </w:r>
      <w:proofErr w:type="spellEnd"/>
      <w:r w:rsidR="0067469E">
        <w:t xml:space="preserve">-ettekirjutused aasta, </w:t>
      </w:r>
      <w:r w:rsidR="00665EBB">
        <w:t xml:space="preserve">muude ettekirjutuste puhul on mõistlik tähtaeg. </w:t>
      </w:r>
      <w:r>
        <w:t xml:space="preserve">Teistes LR-des </w:t>
      </w:r>
      <w:r w:rsidR="00B21A1E">
        <w:t xml:space="preserve">(Taani, Itaalia) ei ole ajalist piiri ette nähtud. </w:t>
      </w:r>
      <w:r w:rsidR="006E4200">
        <w:t xml:space="preserve">Mõnel juhul on </w:t>
      </w:r>
      <w:r w:rsidR="00F478C3">
        <w:t xml:space="preserve">lisatingimus, näiteks </w:t>
      </w:r>
      <w:r w:rsidR="00466031">
        <w:t xml:space="preserve">võib </w:t>
      </w:r>
      <w:r w:rsidR="00F478C3">
        <w:t xml:space="preserve">Leedus ettekirjutus olla jõus </w:t>
      </w:r>
      <w:r w:rsidR="00466031">
        <w:t>niikaua</w:t>
      </w:r>
      <w:r w:rsidR="00F478C3">
        <w:t xml:space="preserve">, kui </w:t>
      </w:r>
      <w:r w:rsidR="004170BC">
        <w:t xml:space="preserve">asjakohasel veebilehel </w:t>
      </w:r>
      <w:r w:rsidR="001E7C93">
        <w:t>toimub</w:t>
      </w:r>
      <w:r w:rsidR="004170BC">
        <w:t xml:space="preserve"> autoriõiguste rikkumine, Madalmaades </w:t>
      </w:r>
      <w:r w:rsidR="004F5161">
        <w:t>võib ettekirjutus olla jõus seni, kui</w:t>
      </w:r>
      <w:r>
        <w:t xml:space="preserve"> </w:t>
      </w:r>
      <w:r w:rsidR="00E271F1">
        <w:t>põhiõiguste vahel säilib õiglane tasakaal.</w:t>
      </w:r>
      <w:r w:rsidR="00E271F1">
        <w:rPr>
          <w:rStyle w:val="FootnoteReference"/>
        </w:rPr>
        <w:footnoteReference w:id="70"/>
      </w:r>
    </w:p>
    <w:p w14:paraId="754E21E8" w14:textId="29C8CAB1" w:rsidR="00FD7B28" w:rsidRDefault="00EE156E" w:rsidP="00993C50">
      <w:pPr>
        <w:pStyle w:val="Listtasand3"/>
      </w:pPr>
      <w:r>
        <w:t xml:space="preserve">Arvestades proportsionaalsuse </w:t>
      </w:r>
      <w:r w:rsidR="00EA50D3">
        <w:t xml:space="preserve">põhimõtte tähtsust, oleks </w:t>
      </w:r>
      <w:r w:rsidR="00C873CA">
        <w:t xml:space="preserve">ohus </w:t>
      </w:r>
      <w:r w:rsidR="00EA50D3">
        <w:t xml:space="preserve">tasakaal ainuõiguste kaitse </w:t>
      </w:r>
      <w:r w:rsidR="00325CE4">
        <w:t xml:space="preserve">ning väljendus- ja ettevõtlusvabaduse vahel, kui </w:t>
      </w:r>
      <w:r w:rsidR="00930404">
        <w:t xml:space="preserve">ettekirjutus kehtib ajalise piiranguta ning seda ei vaadata üle. </w:t>
      </w:r>
      <w:r w:rsidR="009A7232">
        <w:t>Kui</w:t>
      </w:r>
      <w:r w:rsidR="009577B3">
        <w:t xml:space="preserve"> kehtestada</w:t>
      </w:r>
      <w:r w:rsidR="009A7232">
        <w:t xml:space="preserve"> Eestis blokeerimismeetmete</w:t>
      </w:r>
      <w:r w:rsidR="009577B3">
        <w:t>le</w:t>
      </w:r>
      <w:r w:rsidR="009A7232">
        <w:t xml:space="preserve"> eriko</w:t>
      </w:r>
      <w:r w:rsidR="009577B3">
        <w:t>rd</w:t>
      </w:r>
      <w:r w:rsidR="009A7232">
        <w:t xml:space="preserve">, </w:t>
      </w:r>
      <w:r w:rsidR="007106FF">
        <w:t xml:space="preserve">võiks kaaluda </w:t>
      </w:r>
      <w:r w:rsidR="00A515BA">
        <w:t xml:space="preserve">ettekirjutustele </w:t>
      </w:r>
      <w:r w:rsidR="007106FF">
        <w:t xml:space="preserve">ajalise piiri seadmist või vähemalt </w:t>
      </w:r>
      <w:r w:rsidR="00A515BA">
        <w:t xml:space="preserve">sellise mehhanismi loomist, kus </w:t>
      </w:r>
      <w:r w:rsidR="00345A23">
        <w:t>nt poole taotlusel saab</w:t>
      </w:r>
      <w:r w:rsidR="007A7CDE">
        <w:t xml:space="preserve"> </w:t>
      </w:r>
      <w:r w:rsidR="00345A23">
        <w:t>hinnata</w:t>
      </w:r>
      <w:r w:rsidR="007A7CDE">
        <w:t>, kas ettekirjutus on jätkuvalt sobiv.</w:t>
      </w:r>
      <w:r w:rsidR="00FB17B2">
        <w:t xml:space="preserve"> </w:t>
      </w:r>
    </w:p>
    <w:p w14:paraId="4269C4CA" w14:textId="64C5D447" w:rsidR="00F2642B" w:rsidRDefault="00F2642B" w:rsidP="00993C50">
      <w:pPr>
        <w:pStyle w:val="Listtasand3"/>
      </w:pPr>
      <w:r>
        <w:t xml:space="preserve">Kui </w:t>
      </w:r>
      <w:r w:rsidR="0040040C">
        <w:t xml:space="preserve">ettekirjutustele </w:t>
      </w:r>
      <w:r>
        <w:t xml:space="preserve">on konkreetne ajaline piir ette nähtud, </w:t>
      </w:r>
      <w:r w:rsidR="005C4853">
        <w:t>peab</w:t>
      </w:r>
      <w:r w:rsidR="008E2853">
        <w:t xml:space="preserve"> pädev asutus </w:t>
      </w:r>
      <w:r w:rsidR="005C4853">
        <w:t xml:space="preserve">juhinduma </w:t>
      </w:r>
      <w:r w:rsidR="008E2853">
        <w:t>ettekirjutus</w:t>
      </w:r>
      <w:r w:rsidR="005C4853">
        <w:t xml:space="preserve">te andmisel ajalisest piirist. </w:t>
      </w:r>
      <w:r w:rsidR="003B4D59">
        <w:t>Ajaline piir võib olla fikseeritud (</w:t>
      </w:r>
      <w:r w:rsidR="001303BC">
        <w:t>nt</w:t>
      </w:r>
      <w:r w:rsidR="005C4853">
        <w:t xml:space="preserve"> 18 kuud</w:t>
      </w:r>
      <w:r w:rsidR="001303BC">
        <w:t xml:space="preserve">) või </w:t>
      </w:r>
      <w:r w:rsidR="007A2B1C">
        <w:t>määratud vahemikuna</w:t>
      </w:r>
      <w:r w:rsidR="001303BC">
        <w:t xml:space="preserve"> (nt kuni 18 kuud)</w:t>
      </w:r>
      <w:r w:rsidR="007A2B1C">
        <w:t xml:space="preserve">, kus pädev asutus saab ise määrata sobiva kestuse arvestades </w:t>
      </w:r>
      <w:r w:rsidR="00E900A0">
        <w:t>juhtumi asjaolusid</w:t>
      </w:r>
      <w:r w:rsidR="005C4853">
        <w:t xml:space="preserve">. </w:t>
      </w:r>
    </w:p>
    <w:p w14:paraId="4C180739" w14:textId="6AEBB98A" w:rsidR="00E900A0" w:rsidRDefault="00E900A0" w:rsidP="00993C50">
      <w:pPr>
        <w:pStyle w:val="Listtasand3"/>
      </w:pPr>
      <w:r>
        <w:t xml:space="preserve">Alternatiivina võib </w:t>
      </w:r>
      <w:r w:rsidR="00CD60C2">
        <w:t>kaaluda mehhanismi, kus</w:t>
      </w:r>
      <w:r w:rsidR="00345A23">
        <w:t xml:space="preserve"> fikseeritud aega pole ette nähtud, kuid</w:t>
      </w:r>
      <w:r w:rsidR="00CD60C2">
        <w:t xml:space="preserve"> poole taotlusel </w:t>
      </w:r>
      <w:r w:rsidR="00345A23">
        <w:t xml:space="preserve">saab </w:t>
      </w:r>
      <w:r w:rsidR="0006469C">
        <w:t>ettekirjutuse sobivus</w:t>
      </w:r>
      <w:r w:rsidR="00345A23">
        <w:t>e</w:t>
      </w:r>
      <w:r w:rsidR="0006469C">
        <w:t xml:space="preserve"> üle</w:t>
      </w:r>
      <w:r w:rsidR="00345A23">
        <w:t xml:space="preserve"> vaadata (nt Madalmaad).</w:t>
      </w:r>
      <w:r w:rsidR="0063381F">
        <w:t xml:space="preserve"> Kui selgub, et ettekirjutus ei ole enam proportsionaalne, tuleb see tühistada.</w:t>
      </w:r>
      <w:r w:rsidR="00345A23">
        <w:rPr>
          <w:rStyle w:val="FootnoteReference"/>
        </w:rPr>
        <w:footnoteReference w:id="71"/>
      </w:r>
      <w:r w:rsidR="00FB5A37">
        <w:t xml:space="preserve"> </w:t>
      </w:r>
    </w:p>
    <w:p w14:paraId="24F80685" w14:textId="72572B8F" w:rsidR="001C5C0F" w:rsidRDefault="001C5C0F" w:rsidP="00993C50">
      <w:pPr>
        <w:pStyle w:val="Listtasand3"/>
      </w:pPr>
      <w:r>
        <w:t>Arvestada tuleks ka sellega, et</w:t>
      </w:r>
      <w:r w:rsidRPr="001C5C0F">
        <w:t xml:space="preserve"> konkreet</w:t>
      </w:r>
      <w:r w:rsidR="006B1661">
        <w:t>s</w:t>
      </w:r>
      <w:r w:rsidRPr="001C5C0F">
        <w:t>e tähta</w:t>
      </w:r>
      <w:r w:rsidR="006B1661">
        <w:t>ja määramine võib</w:t>
      </w:r>
      <w:r w:rsidRPr="001C5C0F">
        <w:t xml:space="preserve"> </w:t>
      </w:r>
      <w:r w:rsidR="006B1661">
        <w:t>olla</w:t>
      </w:r>
      <w:r w:rsidRPr="001C5C0F">
        <w:t xml:space="preserve"> </w:t>
      </w:r>
      <w:r w:rsidR="006B1661">
        <w:t xml:space="preserve">adressaadi jaoks </w:t>
      </w:r>
      <w:r w:rsidRPr="001C5C0F">
        <w:t xml:space="preserve">vähem koormav meede. Pahatahtlik menetlusosaline võib piirangu ülevaatamist kuritarvitada ja esitada </w:t>
      </w:r>
      <w:r w:rsidR="00EC6871" w:rsidRPr="001C5C0F">
        <w:t>taotlusi</w:t>
      </w:r>
      <w:r w:rsidR="00EC6871">
        <w:t xml:space="preserve"> blokeerimismeetme ülevaatamiseks</w:t>
      </w:r>
      <w:r w:rsidR="00EC6871" w:rsidRPr="001C5C0F">
        <w:t xml:space="preserve"> </w:t>
      </w:r>
      <w:r w:rsidRPr="001C5C0F">
        <w:t>näiteks igaku</w:t>
      </w:r>
      <w:r w:rsidR="00EC6871">
        <w:t>iselt</w:t>
      </w:r>
      <w:r w:rsidRPr="001C5C0F">
        <w:t>. Teisalt on ka ISP-</w:t>
      </w:r>
      <w:proofErr w:type="spellStart"/>
      <w:r w:rsidRPr="001C5C0F">
        <w:t>dele</w:t>
      </w:r>
      <w:proofErr w:type="spellEnd"/>
      <w:r w:rsidRPr="001C5C0F">
        <w:t xml:space="preserve"> mugavam, kui nad saavad kohe ettekirjutuses tea</w:t>
      </w:r>
      <w:r w:rsidR="00EC6871">
        <w:t>da</w:t>
      </w:r>
      <w:r w:rsidRPr="001C5C0F">
        <w:t xml:space="preserve">, </w:t>
      </w:r>
      <w:r w:rsidR="00EC6871">
        <w:t>kui pikalt</w:t>
      </w:r>
      <w:r w:rsidRPr="001C5C0F">
        <w:t xml:space="preserve"> </w:t>
      </w:r>
      <w:r w:rsidR="00EC6871" w:rsidRPr="001C5C0F">
        <w:t xml:space="preserve">tuleb </w:t>
      </w:r>
      <w:r w:rsidRPr="001C5C0F">
        <w:t>vastavat blokeeringut kohaldada</w:t>
      </w:r>
      <w:r w:rsidR="00097141">
        <w:t>.</w:t>
      </w:r>
    </w:p>
    <w:p w14:paraId="01565DB3" w14:textId="2EE3030D" w:rsidR="007A7CDE" w:rsidRDefault="007A7CDE" w:rsidP="007A7CDE">
      <w:pPr>
        <w:pStyle w:val="Ksimus"/>
      </w:pPr>
      <w:r>
        <w:t xml:space="preserve">Kas Eestis peaks olema </w:t>
      </w:r>
      <w:r w:rsidRPr="007A7CDE">
        <w:t xml:space="preserve">ettekirjutustele </w:t>
      </w:r>
      <w:r>
        <w:t xml:space="preserve">konkreetne </w:t>
      </w:r>
      <w:r w:rsidRPr="007A7CDE">
        <w:t>ajali</w:t>
      </w:r>
      <w:r>
        <w:t>ne</w:t>
      </w:r>
      <w:r w:rsidRPr="007A7CDE">
        <w:t xml:space="preserve"> piir </w:t>
      </w:r>
      <w:r w:rsidR="00FB17B2">
        <w:t>või peaks looma mehhanismi, kus ettekirjutus</w:t>
      </w:r>
      <w:r w:rsidR="00042AEF">
        <w:t>ed ei ole ajalise piiriga, kuid nt poole taotlusel saab hinnata nende</w:t>
      </w:r>
      <w:r w:rsidR="00FB17B2">
        <w:t xml:space="preserve"> sobivus</w:t>
      </w:r>
      <w:r w:rsidR="00042AEF">
        <w:t>t</w:t>
      </w:r>
      <w:r w:rsidR="00FB17B2">
        <w:t>?</w:t>
      </w:r>
    </w:p>
    <w:p w14:paraId="11CFFED0" w14:textId="35ADFB71" w:rsidR="00CF7101" w:rsidRDefault="00E6288F" w:rsidP="00CB365C">
      <w:pPr>
        <w:pStyle w:val="Listtasand2"/>
      </w:pPr>
      <w:bookmarkStart w:id="14" w:name="_Toc229141298"/>
      <w:r>
        <w:t>Ettekirjutuste jõustamisega seotud k</w:t>
      </w:r>
      <w:r w:rsidR="00CF7101">
        <w:t>ulud</w:t>
      </w:r>
      <w:bookmarkEnd w:id="14"/>
    </w:p>
    <w:p w14:paraId="506EE300" w14:textId="44ACD75E" w:rsidR="00CF7101" w:rsidRDefault="00CE3620" w:rsidP="00CF7101">
      <w:pPr>
        <w:pStyle w:val="Listtasand3"/>
      </w:pPr>
      <w:r>
        <w:t xml:space="preserve">Ettekirjutuste </w:t>
      </w:r>
      <w:r w:rsidR="00E6288F">
        <w:t>jõustamisega seotud</w:t>
      </w:r>
      <w:r w:rsidR="00A35C54">
        <w:t xml:space="preserve"> </w:t>
      </w:r>
      <w:r w:rsidR="00542148">
        <w:t xml:space="preserve">kulud </w:t>
      </w:r>
      <w:r>
        <w:t xml:space="preserve">on </w:t>
      </w:r>
      <w:r w:rsidR="000610D7">
        <w:t>paljudes</w:t>
      </w:r>
      <w:r>
        <w:t xml:space="preserve"> EL LR-des jäetud vahendajate kanda</w:t>
      </w:r>
      <w:r w:rsidR="000610D7">
        <w:t xml:space="preserve"> (</w:t>
      </w:r>
      <w:r w:rsidR="00BB1B5E">
        <w:t>Belgia, Taani, Soome, Prantsusmaa, Saksamaa, Kreeka, Itaalia, Leedu, Madalmaad, Hispaania ja Rootsi</w:t>
      </w:r>
      <w:r w:rsidR="000610D7">
        <w:t>)</w:t>
      </w:r>
      <w:r>
        <w:t>.</w:t>
      </w:r>
      <w:r w:rsidR="00BB1B5E">
        <w:rPr>
          <w:rStyle w:val="FootnoteReference"/>
        </w:rPr>
        <w:footnoteReference w:id="72"/>
      </w:r>
      <w:r>
        <w:t xml:space="preserve"> </w:t>
      </w:r>
    </w:p>
    <w:p w14:paraId="0D2DB32B" w14:textId="107EFDE7" w:rsidR="00560FD2" w:rsidRDefault="00877B67" w:rsidP="00CF7101">
      <w:pPr>
        <w:pStyle w:val="Listtasand3"/>
      </w:pPr>
      <w:r>
        <w:t>Jõustamisega seotud kulude jätmist vahendajate kanda</w:t>
      </w:r>
      <w:r w:rsidR="008F4D3A" w:rsidRPr="008F4D3A">
        <w:t xml:space="preserve"> on õigustatud eeldusel, et vahendajad peaksid panustama võitlusse veebirikkumiste vastu</w:t>
      </w:r>
      <w:r>
        <w:t xml:space="preserve">, </w:t>
      </w:r>
      <w:r w:rsidR="0011164E">
        <w:t xml:space="preserve">vahendajad </w:t>
      </w:r>
      <w:r w:rsidR="00B173BB">
        <w:t xml:space="preserve">saavad </w:t>
      </w:r>
      <w:r w:rsidR="0011164E">
        <w:t>otsest või kaudselt tulu</w:t>
      </w:r>
      <w:r w:rsidR="008F4D3A" w:rsidRPr="008F4D3A">
        <w:t xml:space="preserve"> </w:t>
      </w:r>
      <w:r w:rsidR="0011164E">
        <w:t xml:space="preserve">selle eest, et </w:t>
      </w:r>
      <w:r w:rsidR="00B173BB">
        <w:t xml:space="preserve">nende teenustega pannakse toime rikkumisi, </w:t>
      </w:r>
      <w:r w:rsidR="008F4D3A" w:rsidRPr="008F4D3A">
        <w:t xml:space="preserve">ja </w:t>
      </w:r>
      <w:r w:rsidR="00B173BB">
        <w:t>vahendajad</w:t>
      </w:r>
      <w:r w:rsidR="008F4D3A" w:rsidRPr="008F4D3A">
        <w:t xml:space="preserve"> on parimas positsioonis veebirikkumiste lõpetamiseks.</w:t>
      </w:r>
      <w:r w:rsidR="00696F2B">
        <w:rPr>
          <w:rStyle w:val="FootnoteReference"/>
        </w:rPr>
        <w:footnoteReference w:id="73"/>
      </w:r>
    </w:p>
    <w:p w14:paraId="2EFE7420" w14:textId="2114894A" w:rsidR="00C34035" w:rsidRDefault="002A22C4" w:rsidP="00CF7101">
      <w:pPr>
        <w:pStyle w:val="Listtasand3"/>
      </w:pPr>
      <w:r>
        <w:t>Arvestades</w:t>
      </w:r>
      <w:r w:rsidR="00E6288F">
        <w:t xml:space="preserve"> proportsionaalsuse tähtsust ettekirjutuste andmisel, oleks üks lahendus see, kui ettekirjutuse jõustamisega seotud kulud jäetakse vahendaja kanda, niivõrd kui need on proportsionaalsed.</w:t>
      </w:r>
      <w:r w:rsidR="006D41E8">
        <w:rPr>
          <w:rStyle w:val="FootnoteReference"/>
        </w:rPr>
        <w:footnoteReference w:id="74"/>
      </w:r>
    </w:p>
    <w:p w14:paraId="64FF65ED" w14:textId="3022894F" w:rsidR="00B44353" w:rsidRDefault="00B44353" w:rsidP="00B44353">
      <w:pPr>
        <w:pStyle w:val="Ksimus"/>
      </w:pPr>
      <w:r>
        <w:t xml:space="preserve">Kes peaks kandma </w:t>
      </w:r>
      <w:r w:rsidR="004E29F6">
        <w:t>ettekirjutuste jõustamisega seotud kulud?</w:t>
      </w:r>
    </w:p>
    <w:p w14:paraId="0C487F23" w14:textId="12D38872" w:rsidR="002032BB" w:rsidRDefault="002032BB">
      <w:pPr>
        <w:spacing w:after="160" w:line="279" w:lineRule="auto"/>
        <w:jc w:val="left"/>
      </w:pPr>
    </w:p>
    <w:sectPr w:rsidR="002032BB" w:rsidSect="00626537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00D2E" w14:textId="77777777" w:rsidR="00031ECF" w:rsidRDefault="00031ECF" w:rsidP="00201E4B">
      <w:pPr>
        <w:spacing w:after="0"/>
      </w:pPr>
      <w:r>
        <w:separator/>
      </w:r>
    </w:p>
  </w:endnote>
  <w:endnote w:type="continuationSeparator" w:id="0">
    <w:p w14:paraId="5A5B1B3B" w14:textId="77777777" w:rsidR="00031ECF" w:rsidRDefault="00031ECF" w:rsidP="00201E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7590909"/>
      <w:docPartObj>
        <w:docPartGallery w:val="Page Numbers (Bottom of Page)"/>
        <w:docPartUnique/>
      </w:docPartObj>
    </w:sdtPr>
    <w:sdtEndPr/>
    <w:sdtContent>
      <w:p w14:paraId="0228818F" w14:textId="284E2F9F" w:rsidR="00384B82" w:rsidRDefault="00384B8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93E0" w14:textId="77777777" w:rsidR="00031ECF" w:rsidRDefault="00031ECF" w:rsidP="00201E4B">
      <w:pPr>
        <w:spacing w:after="0"/>
      </w:pPr>
      <w:r>
        <w:separator/>
      </w:r>
    </w:p>
  </w:footnote>
  <w:footnote w:type="continuationSeparator" w:id="0">
    <w:p w14:paraId="7FE144E6" w14:textId="77777777" w:rsidR="00031ECF" w:rsidRDefault="00031ECF" w:rsidP="00201E4B">
      <w:pPr>
        <w:spacing w:after="0"/>
      </w:pPr>
      <w:r>
        <w:continuationSeparator/>
      </w:r>
    </w:p>
  </w:footnote>
  <w:footnote w:id="1">
    <w:p w14:paraId="3C6F8D3D" w14:textId="77777777" w:rsidR="004724AE" w:rsidRDefault="004724AE" w:rsidP="004724AE">
      <w:pPr>
        <w:pStyle w:val="FootnoteText"/>
      </w:pPr>
      <w:r>
        <w:rPr>
          <w:rStyle w:val="FootnoteReference"/>
        </w:rPr>
        <w:footnoteRef/>
      </w:r>
      <w:r>
        <w:t xml:space="preserve"> EUIPO. Online </w:t>
      </w:r>
      <w:proofErr w:type="spellStart"/>
      <w:r>
        <w:t>copyright</w:t>
      </w:r>
      <w:proofErr w:type="spellEnd"/>
      <w:r>
        <w:t xml:space="preserve"> </w:t>
      </w:r>
      <w:proofErr w:type="spellStart"/>
      <w:r>
        <w:t>infringement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Union</w:t>
      </w:r>
      <w:proofErr w:type="spellEnd"/>
      <w:r>
        <w:t xml:space="preserve">. Films, </w:t>
      </w:r>
      <w:proofErr w:type="spellStart"/>
      <w:r>
        <w:t>music</w:t>
      </w:r>
      <w:proofErr w:type="spellEnd"/>
      <w:r>
        <w:t xml:space="preserve">, </w:t>
      </w:r>
      <w:proofErr w:type="spellStart"/>
      <w:r>
        <w:t>publications</w:t>
      </w:r>
      <w:proofErr w:type="spellEnd"/>
      <w:r>
        <w:t xml:space="preserve">, </w:t>
      </w:r>
      <w:proofErr w:type="spellStart"/>
      <w:r>
        <w:t>software</w:t>
      </w:r>
      <w:proofErr w:type="spellEnd"/>
      <w:r>
        <w:t xml:space="preserve"> and TV (2017-2023), lk 35. </w:t>
      </w:r>
      <w:r w:rsidRPr="000464A9">
        <w:t>https://euipo.europa.eu/tunnel-web/secure/webdav/guest/document_library/observatory/documents/reports/2024_online_copyright_infringement/2024_online_copyright_infringement_in_the_EU_FullR_en.pdf</w:t>
      </w:r>
    </w:p>
  </w:footnote>
  <w:footnote w:id="2">
    <w:p w14:paraId="1E8A325B" w14:textId="77777777" w:rsidR="004724AE" w:rsidRDefault="004724AE" w:rsidP="004724AE">
      <w:pPr>
        <w:pStyle w:val="FootnoteText"/>
      </w:pPr>
      <w:r>
        <w:rPr>
          <w:rStyle w:val="FootnoteReference"/>
        </w:rPr>
        <w:footnoteRef/>
      </w:r>
      <w:r>
        <w:t xml:space="preserve"> Samas, lk 66</w:t>
      </w:r>
    </w:p>
  </w:footnote>
  <w:footnote w:id="3">
    <w:p w14:paraId="1CB0138E" w14:textId="5725559D" w:rsidR="00916AA5" w:rsidRDefault="00916A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17E16" w:rsidRPr="00817E16">
        <w:t>Farmaki</w:t>
      </w:r>
      <w:proofErr w:type="spellEnd"/>
      <w:r w:rsidR="00817E16" w:rsidRPr="00817E16">
        <w:t xml:space="preserve">, D. (2021). The </w:t>
      </w:r>
      <w:proofErr w:type="spellStart"/>
      <w:r w:rsidR="00817E16" w:rsidRPr="00817E16">
        <w:t>effectiveness</w:t>
      </w:r>
      <w:proofErr w:type="spellEnd"/>
      <w:r w:rsidR="00817E16" w:rsidRPr="00817E16">
        <w:t xml:space="preserve"> of </w:t>
      </w:r>
      <w:proofErr w:type="spellStart"/>
      <w:r w:rsidR="00817E16" w:rsidRPr="00817E16">
        <w:t>blocking</w:t>
      </w:r>
      <w:proofErr w:type="spellEnd"/>
      <w:r w:rsidR="00817E16" w:rsidRPr="00817E16">
        <w:t xml:space="preserve"> </w:t>
      </w:r>
      <w:proofErr w:type="spellStart"/>
      <w:r w:rsidR="00817E16" w:rsidRPr="00817E16">
        <w:t>injunctions</w:t>
      </w:r>
      <w:proofErr w:type="spellEnd"/>
      <w:r w:rsidR="00817E16" w:rsidRPr="00817E16">
        <w:t xml:space="preserve"> </w:t>
      </w:r>
      <w:proofErr w:type="spellStart"/>
      <w:r w:rsidR="00817E16" w:rsidRPr="00817E16">
        <w:t>against</w:t>
      </w:r>
      <w:proofErr w:type="spellEnd"/>
      <w:r w:rsidR="00817E16" w:rsidRPr="00817E16">
        <w:t xml:space="preserve"> </w:t>
      </w:r>
      <w:proofErr w:type="spellStart"/>
      <w:r w:rsidR="00817E16" w:rsidRPr="00817E16">
        <w:t>ISPs</w:t>
      </w:r>
      <w:proofErr w:type="spellEnd"/>
      <w:r w:rsidR="00817E16" w:rsidRPr="00817E16">
        <w:t xml:space="preserve"> in </w:t>
      </w:r>
      <w:proofErr w:type="spellStart"/>
      <w:r w:rsidR="00817E16" w:rsidRPr="00817E16">
        <w:t>respect</w:t>
      </w:r>
      <w:proofErr w:type="spellEnd"/>
      <w:r w:rsidR="00817E16" w:rsidRPr="00817E16">
        <w:t xml:space="preserve"> of online </w:t>
      </w:r>
      <w:proofErr w:type="spellStart"/>
      <w:r w:rsidR="00817E16" w:rsidRPr="00817E16">
        <w:t>copyright</w:t>
      </w:r>
      <w:proofErr w:type="spellEnd"/>
      <w:r w:rsidR="00817E16" w:rsidRPr="00817E16">
        <w:t xml:space="preserve"> </w:t>
      </w:r>
      <w:proofErr w:type="spellStart"/>
      <w:r w:rsidR="00817E16" w:rsidRPr="00817E16">
        <w:t>infringement</w:t>
      </w:r>
      <w:proofErr w:type="spellEnd"/>
      <w:r w:rsidR="00817E16" w:rsidRPr="00817E16">
        <w:t xml:space="preserve"> in Europe: a </w:t>
      </w:r>
      <w:proofErr w:type="spellStart"/>
      <w:r w:rsidR="00817E16" w:rsidRPr="00817E16">
        <w:t>comparative</w:t>
      </w:r>
      <w:proofErr w:type="spellEnd"/>
      <w:r w:rsidR="00817E16" w:rsidRPr="00817E16">
        <w:t xml:space="preserve"> </w:t>
      </w:r>
      <w:proofErr w:type="spellStart"/>
      <w:r w:rsidR="00817E16" w:rsidRPr="00817E16">
        <w:t>analysis</w:t>
      </w:r>
      <w:proofErr w:type="spellEnd"/>
      <w:r w:rsidR="00817E16" w:rsidRPr="00817E16">
        <w:t xml:space="preserve"> </w:t>
      </w:r>
      <w:proofErr w:type="spellStart"/>
      <w:r w:rsidR="00817E16" w:rsidRPr="00817E16">
        <w:t>from</w:t>
      </w:r>
      <w:proofErr w:type="spellEnd"/>
      <w:r w:rsidR="00817E16" w:rsidRPr="00817E16">
        <w:t xml:space="preserve"> </w:t>
      </w:r>
      <w:proofErr w:type="spellStart"/>
      <w:r w:rsidR="00817E16" w:rsidRPr="00817E16">
        <w:t>the</w:t>
      </w:r>
      <w:proofErr w:type="spellEnd"/>
      <w:r w:rsidR="00817E16" w:rsidRPr="00817E16">
        <w:t xml:space="preserve"> UK, </w:t>
      </w:r>
      <w:proofErr w:type="spellStart"/>
      <w:r w:rsidR="00817E16" w:rsidRPr="00817E16">
        <w:t>Greece</w:t>
      </w:r>
      <w:proofErr w:type="spellEnd"/>
      <w:r w:rsidR="00817E16" w:rsidRPr="00817E16">
        <w:t xml:space="preserve"> and </w:t>
      </w:r>
      <w:proofErr w:type="spellStart"/>
      <w:r w:rsidR="00817E16" w:rsidRPr="00817E16">
        <w:t>the</w:t>
      </w:r>
      <w:proofErr w:type="spellEnd"/>
      <w:r w:rsidR="00817E16" w:rsidRPr="00817E16">
        <w:t xml:space="preserve"> Nordic </w:t>
      </w:r>
      <w:proofErr w:type="spellStart"/>
      <w:r w:rsidR="00817E16" w:rsidRPr="00817E16">
        <w:t>countries</w:t>
      </w:r>
      <w:proofErr w:type="spellEnd"/>
      <w:r w:rsidR="00817E16" w:rsidRPr="00817E16">
        <w:t xml:space="preserve">. Stockholm Intellectual Property Law </w:t>
      </w:r>
      <w:proofErr w:type="spellStart"/>
      <w:r w:rsidR="00817E16" w:rsidRPr="00817E16">
        <w:t>Review</w:t>
      </w:r>
      <w:proofErr w:type="spellEnd"/>
      <w:r w:rsidR="00817E16" w:rsidRPr="00817E16">
        <w:t xml:space="preserve"> , 4(2), 6–17. https://doi.org/10.59625/siplr.v4i2.14086, lk </w:t>
      </w:r>
      <w:r w:rsidR="00817E16">
        <w:t>7</w:t>
      </w:r>
    </w:p>
  </w:footnote>
  <w:footnote w:id="4">
    <w:p w14:paraId="3F34AE8B" w14:textId="5B44CCA1" w:rsidR="00C03557" w:rsidRDefault="00C03557">
      <w:pPr>
        <w:pStyle w:val="FootnoteText"/>
      </w:pPr>
      <w:r>
        <w:rPr>
          <w:rStyle w:val="FootnoteReference"/>
        </w:rPr>
        <w:footnoteRef/>
      </w:r>
      <w:r>
        <w:t xml:space="preserve"> T</w:t>
      </w:r>
      <w:r w:rsidRPr="00C03557">
        <w:t xml:space="preserve">erminit „ettekirjutus“ on kasutatud ka </w:t>
      </w:r>
      <w:r w:rsidR="00CF3EC7">
        <w:t xml:space="preserve">eestikeelses </w:t>
      </w:r>
      <w:proofErr w:type="spellStart"/>
      <w:r w:rsidRPr="00C03557">
        <w:t>InfoSoc</w:t>
      </w:r>
      <w:proofErr w:type="spellEnd"/>
      <w:r w:rsidRPr="00C03557">
        <w:t xml:space="preserve"> direktiivi artikli 8 </w:t>
      </w:r>
      <w:proofErr w:type="spellStart"/>
      <w:r w:rsidRPr="00C03557">
        <w:t>lg-s</w:t>
      </w:r>
      <w:proofErr w:type="spellEnd"/>
      <w:r w:rsidRPr="00C03557">
        <w:t xml:space="preserve"> 3 ja Komisjoni soovituses (EL) 2023/1018, 4. mai 2023, spordi- ja muude ürituste otseülekannete internetipiraatluse vastase võitluse kohta</w:t>
      </w:r>
    </w:p>
  </w:footnote>
  <w:footnote w:id="5">
    <w:p w14:paraId="304F4A35" w14:textId="4E91EAC6" w:rsidR="00C50594" w:rsidRDefault="00C505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E5B97">
        <w:t>T</w:t>
      </w:r>
      <w:r>
        <w:t xml:space="preserve">erminit </w:t>
      </w:r>
      <w:proofErr w:type="spellStart"/>
      <w:r w:rsidR="002E5B97" w:rsidRPr="002E5B97">
        <w:rPr>
          <w:i/>
          <w:iCs/>
        </w:rPr>
        <w:t>issue</w:t>
      </w:r>
      <w:proofErr w:type="spellEnd"/>
      <w:r w:rsidR="002E5B97">
        <w:t xml:space="preserve"> </w:t>
      </w:r>
      <w:r>
        <w:t xml:space="preserve">kasutatakse ka </w:t>
      </w:r>
      <w:r w:rsidR="002E5B97">
        <w:t>käesolevas taustapaberis viidatud inglisekeelses õiguskirjanduses</w:t>
      </w:r>
    </w:p>
  </w:footnote>
  <w:footnote w:id="6">
    <w:p w14:paraId="65B3A16B" w14:textId="796DD8A4" w:rsidR="00837F6F" w:rsidRDefault="00837F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06BD7" w:rsidRPr="00B06BD7">
        <w:t>https://itif.org/publications/2025/06/09/blocking-access-to-foreign-pirate-sites-a-long-overdue-task-for-congress/</w:t>
      </w:r>
      <w:r>
        <w:t xml:space="preserve"> </w:t>
      </w:r>
    </w:p>
  </w:footnote>
  <w:footnote w:id="7">
    <w:p w14:paraId="3E9FFC2E" w14:textId="15517CF5" w:rsidR="008B4169" w:rsidRDefault="008B4169">
      <w:pPr>
        <w:pStyle w:val="FootnoteText"/>
      </w:pPr>
      <w:r>
        <w:rPr>
          <w:rStyle w:val="FootnoteReference"/>
        </w:rPr>
        <w:footnoteRef/>
      </w:r>
      <w:r>
        <w:t xml:space="preserve"> Samas</w:t>
      </w:r>
    </w:p>
  </w:footnote>
  <w:footnote w:id="8">
    <w:p w14:paraId="196B587A" w14:textId="2D6E0EEA" w:rsidR="00D74C58" w:rsidRDefault="00D74C58">
      <w:pPr>
        <w:pStyle w:val="FootnoteText"/>
      </w:pPr>
      <w:r>
        <w:rPr>
          <w:rStyle w:val="FootnoteReference"/>
        </w:rPr>
        <w:footnoteRef/>
      </w:r>
      <w:r>
        <w:t xml:space="preserve"> Samas</w:t>
      </w:r>
    </w:p>
  </w:footnote>
  <w:footnote w:id="9">
    <w:p w14:paraId="53BA1BDE" w14:textId="35AA24D3" w:rsidR="0020075D" w:rsidRDefault="002007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20075D">
        <w:t>EKo</w:t>
      </w:r>
      <w:proofErr w:type="spellEnd"/>
      <w:r w:rsidRPr="0020075D">
        <w:t xml:space="preserve"> C</w:t>
      </w:r>
      <w:r w:rsidRPr="0020075D">
        <w:rPr>
          <w:rFonts w:ascii="Cambria Math" w:hAnsi="Cambria Math" w:cs="Cambria Math"/>
        </w:rPr>
        <w:t>‑</w:t>
      </w:r>
      <w:r w:rsidRPr="0020075D">
        <w:t xml:space="preserve">314/12 </w:t>
      </w:r>
      <w:r w:rsidRPr="00FF49B8">
        <w:rPr>
          <w:i/>
          <w:iCs/>
        </w:rPr>
        <w:t>UPC</w:t>
      </w:r>
      <w:r w:rsidRPr="0020075D">
        <w:t xml:space="preserve"> </w:t>
      </w:r>
      <w:r w:rsidRPr="0020075D">
        <w:rPr>
          <w:i/>
          <w:iCs/>
        </w:rPr>
        <w:t>Telekabel</w:t>
      </w:r>
      <w:r w:rsidRPr="0020075D">
        <w:t>, p 4</w:t>
      </w:r>
      <w:r>
        <w:t>0</w:t>
      </w:r>
    </w:p>
  </w:footnote>
  <w:footnote w:id="10">
    <w:p w14:paraId="54CB148D" w14:textId="7CF0436F" w:rsidR="00FF49B8" w:rsidRDefault="00FF49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EKo</w:t>
      </w:r>
      <w:proofErr w:type="spellEnd"/>
      <w:r>
        <w:t xml:space="preserve"> </w:t>
      </w:r>
      <w:r w:rsidRPr="00FF49B8">
        <w:t>C</w:t>
      </w:r>
      <w:r w:rsidRPr="00FF49B8">
        <w:rPr>
          <w:rFonts w:ascii="Cambria Math" w:hAnsi="Cambria Math" w:cs="Cambria Math"/>
        </w:rPr>
        <w:t>‑</w:t>
      </w:r>
      <w:r w:rsidRPr="00FF49B8">
        <w:t xml:space="preserve">70/10 </w:t>
      </w:r>
      <w:proofErr w:type="spellStart"/>
      <w:r w:rsidRPr="00FF49B8">
        <w:rPr>
          <w:i/>
          <w:iCs/>
        </w:rPr>
        <w:t>Scarlet</w:t>
      </w:r>
      <w:proofErr w:type="spellEnd"/>
      <w:r w:rsidRPr="00FF49B8">
        <w:rPr>
          <w:i/>
          <w:iCs/>
        </w:rPr>
        <w:t xml:space="preserve"> </w:t>
      </w:r>
      <w:proofErr w:type="spellStart"/>
      <w:r w:rsidRPr="00FF49B8">
        <w:rPr>
          <w:i/>
          <w:iCs/>
        </w:rPr>
        <w:t>Extended</w:t>
      </w:r>
      <w:proofErr w:type="spellEnd"/>
      <w:r>
        <w:t>, p 30</w:t>
      </w:r>
    </w:p>
  </w:footnote>
  <w:footnote w:id="11">
    <w:p w14:paraId="038E6ECC" w14:textId="41E19B47" w:rsidR="00A57233" w:rsidRDefault="00A572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A74CF3">
        <w:t>EKo</w:t>
      </w:r>
      <w:proofErr w:type="spellEnd"/>
      <w:r w:rsidR="00A74CF3">
        <w:t xml:space="preserve"> </w:t>
      </w:r>
      <w:r w:rsidR="00A74CF3" w:rsidRPr="00A74CF3">
        <w:t>C</w:t>
      </w:r>
      <w:r w:rsidR="00A74CF3" w:rsidRPr="00A74CF3">
        <w:rPr>
          <w:rFonts w:ascii="Cambria Math" w:hAnsi="Cambria Math" w:cs="Cambria Math"/>
        </w:rPr>
        <w:t>‑</w:t>
      </w:r>
      <w:r w:rsidR="00A74CF3" w:rsidRPr="00A74CF3">
        <w:t>324/09</w:t>
      </w:r>
      <w:r w:rsidR="00A74CF3">
        <w:t xml:space="preserve"> </w:t>
      </w:r>
      <w:proofErr w:type="spellStart"/>
      <w:r w:rsidR="00A74CF3" w:rsidRPr="00A74CF3">
        <w:rPr>
          <w:i/>
          <w:iCs/>
        </w:rPr>
        <w:t>L’Oréal</w:t>
      </w:r>
      <w:proofErr w:type="spellEnd"/>
      <w:r w:rsidR="00A74CF3">
        <w:t>, p 131</w:t>
      </w:r>
    </w:p>
  </w:footnote>
  <w:footnote w:id="12">
    <w:p w14:paraId="0043855F" w14:textId="27C4A328" w:rsidR="00EC3BD4" w:rsidRDefault="00EC3BD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040755">
        <w:t>EKo</w:t>
      </w:r>
      <w:proofErr w:type="spellEnd"/>
      <w:r w:rsidR="00040755">
        <w:t xml:space="preserve"> </w:t>
      </w:r>
      <w:r w:rsidR="00040755" w:rsidRPr="00040755">
        <w:t>C-360/10</w:t>
      </w:r>
      <w:r w:rsidR="00891DEE">
        <w:t xml:space="preserve"> </w:t>
      </w:r>
      <w:r w:rsidR="00891DEE" w:rsidRPr="00891DEE">
        <w:rPr>
          <w:i/>
          <w:iCs/>
        </w:rPr>
        <w:t>SABAM</w:t>
      </w:r>
      <w:r w:rsidR="00891DEE">
        <w:t>, p 28</w:t>
      </w:r>
    </w:p>
  </w:footnote>
  <w:footnote w:id="13">
    <w:p w14:paraId="7B5C3F57" w14:textId="5D68242A" w:rsidR="00F855E9" w:rsidRDefault="00F855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55E9">
        <w:t>https://itif.org/publications/2025/06/09/blocking-access-to-foreign-pirate-sites-a-long-overdue-task-for-congress/</w:t>
      </w:r>
    </w:p>
  </w:footnote>
  <w:footnote w:id="14">
    <w:p w14:paraId="30D84EE1" w14:textId="6C76D85E" w:rsidR="00A72E39" w:rsidRDefault="00A72E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55665">
        <w:t>Samas</w:t>
      </w:r>
    </w:p>
  </w:footnote>
  <w:footnote w:id="15">
    <w:p w14:paraId="4F2D2D21" w14:textId="5F9A467C" w:rsidR="00A55665" w:rsidRDefault="00A55665">
      <w:pPr>
        <w:pStyle w:val="FootnoteText"/>
      </w:pPr>
      <w:r>
        <w:rPr>
          <w:rStyle w:val="FootnoteReference"/>
        </w:rPr>
        <w:footnoteRef/>
      </w:r>
      <w:r>
        <w:t xml:space="preserve"> Samas</w:t>
      </w:r>
    </w:p>
  </w:footnote>
  <w:footnote w:id="16">
    <w:p w14:paraId="00DA9FA1" w14:textId="362D192B" w:rsidR="006F7C1D" w:rsidRDefault="006F7C1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F7C1D">
        <w:t>Farmaki</w:t>
      </w:r>
      <w:proofErr w:type="spellEnd"/>
      <w:r w:rsidRPr="006F7C1D">
        <w:t xml:space="preserve">, D. (2021). The </w:t>
      </w:r>
      <w:proofErr w:type="spellStart"/>
      <w:r w:rsidRPr="006F7C1D">
        <w:t>effectiveness</w:t>
      </w:r>
      <w:proofErr w:type="spellEnd"/>
      <w:r w:rsidRPr="006F7C1D">
        <w:t xml:space="preserve"> of </w:t>
      </w:r>
      <w:proofErr w:type="spellStart"/>
      <w:r w:rsidRPr="006F7C1D">
        <w:t>blocking</w:t>
      </w:r>
      <w:proofErr w:type="spellEnd"/>
      <w:r w:rsidRPr="006F7C1D">
        <w:t xml:space="preserve"> </w:t>
      </w:r>
      <w:proofErr w:type="spellStart"/>
      <w:r w:rsidRPr="006F7C1D">
        <w:t>injunctions</w:t>
      </w:r>
      <w:proofErr w:type="spellEnd"/>
      <w:r w:rsidRPr="006F7C1D">
        <w:t xml:space="preserve"> </w:t>
      </w:r>
      <w:proofErr w:type="spellStart"/>
      <w:r w:rsidRPr="006F7C1D">
        <w:t>against</w:t>
      </w:r>
      <w:proofErr w:type="spellEnd"/>
      <w:r w:rsidRPr="006F7C1D">
        <w:t xml:space="preserve"> </w:t>
      </w:r>
      <w:proofErr w:type="spellStart"/>
      <w:r w:rsidRPr="006F7C1D">
        <w:t>ISPs</w:t>
      </w:r>
      <w:proofErr w:type="spellEnd"/>
      <w:r w:rsidRPr="006F7C1D">
        <w:t xml:space="preserve"> in </w:t>
      </w:r>
      <w:proofErr w:type="spellStart"/>
      <w:r w:rsidRPr="006F7C1D">
        <w:t>respect</w:t>
      </w:r>
      <w:proofErr w:type="spellEnd"/>
      <w:r w:rsidRPr="006F7C1D">
        <w:t xml:space="preserve"> of online </w:t>
      </w:r>
      <w:proofErr w:type="spellStart"/>
      <w:r w:rsidRPr="006F7C1D">
        <w:t>copyright</w:t>
      </w:r>
      <w:proofErr w:type="spellEnd"/>
      <w:r w:rsidRPr="006F7C1D">
        <w:t xml:space="preserve"> </w:t>
      </w:r>
      <w:proofErr w:type="spellStart"/>
      <w:r w:rsidRPr="006F7C1D">
        <w:t>infringement</w:t>
      </w:r>
      <w:proofErr w:type="spellEnd"/>
      <w:r w:rsidRPr="006F7C1D">
        <w:t xml:space="preserve"> in Europe: a </w:t>
      </w:r>
      <w:proofErr w:type="spellStart"/>
      <w:r w:rsidRPr="006F7C1D">
        <w:t>comparative</w:t>
      </w:r>
      <w:proofErr w:type="spellEnd"/>
      <w:r w:rsidRPr="006F7C1D">
        <w:t xml:space="preserve"> </w:t>
      </w:r>
      <w:proofErr w:type="spellStart"/>
      <w:r w:rsidRPr="006F7C1D">
        <w:t>analysis</w:t>
      </w:r>
      <w:proofErr w:type="spellEnd"/>
      <w:r w:rsidRPr="006F7C1D">
        <w:t xml:space="preserve"> </w:t>
      </w:r>
      <w:proofErr w:type="spellStart"/>
      <w:r w:rsidRPr="006F7C1D">
        <w:t>from</w:t>
      </w:r>
      <w:proofErr w:type="spellEnd"/>
      <w:r w:rsidRPr="006F7C1D">
        <w:t xml:space="preserve"> </w:t>
      </w:r>
      <w:proofErr w:type="spellStart"/>
      <w:r w:rsidRPr="006F7C1D">
        <w:t>the</w:t>
      </w:r>
      <w:proofErr w:type="spellEnd"/>
      <w:r w:rsidRPr="006F7C1D">
        <w:t xml:space="preserve"> UK, </w:t>
      </w:r>
      <w:proofErr w:type="spellStart"/>
      <w:r w:rsidRPr="006F7C1D">
        <w:t>Greece</w:t>
      </w:r>
      <w:proofErr w:type="spellEnd"/>
      <w:r w:rsidRPr="006F7C1D">
        <w:t xml:space="preserve"> and </w:t>
      </w:r>
      <w:proofErr w:type="spellStart"/>
      <w:r w:rsidRPr="006F7C1D">
        <w:t>the</w:t>
      </w:r>
      <w:proofErr w:type="spellEnd"/>
      <w:r w:rsidRPr="006F7C1D">
        <w:t xml:space="preserve"> Nordic </w:t>
      </w:r>
      <w:proofErr w:type="spellStart"/>
      <w:r w:rsidRPr="006F7C1D">
        <w:t>countries</w:t>
      </w:r>
      <w:proofErr w:type="spellEnd"/>
      <w:r w:rsidRPr="006F7C1D">
        <w:t xml:space="preserve">. Stockholm Intellectual Property Law </w:t>
      </w:r>
      <w:proofErr w:type="spellStart"/>
      <w:r w:rsidRPr="006F7C1D">
        <w:t>Review</w:t>
      </w:r>
      <w:proofErr w:type="spellEnd"/>
      <w:r w:rsidRPr="006F7C1D">
        <w:t xml:space="preserve"> , 4(2), 6–17. https://doi.org/10.59625/siplr.v4i2.14086, l</w:t>
      </w:r>
      <w:r w:rsidR="00E5162F">
        <w:t>k 8</w:t>
      </w:r>
    </w:p>
  </w:footnote>
  <w:footnote w:id="17">
    <w:p w14:paraId="4E5B8FC8" w14:textId="441824AA" w:rsidR="003752BF" w:rsidRDefault="003752BF" w:rsidP="0031727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1727D">
        <w:t xml:space="preserve">Euroopa Parlamendi ja nõukogu direktiiv 2001/29/EÜ, 22. mai 2001, autoriõiguse ja sellega kaasnevate õiguste teatavate aspektide ühtlustamise kohta infoühiskonnas – ELT </w:t>
      </w:r>
      <w:r w:rsidR="0031727D" w:rsidRPr="0031727D">
        <w:t xml:space="preserve">L 167, 22/06/2001 </w:t>
      </w:r>
      <w:r w:rsidR="008D48C3">
        <w:t>l</w:t>
      </w:r>
      <w:r w:rsidR="0031727D" w:rsidRPr="0031727D">
        <w:t>k 0010 - 0019</w:t>
      </w:r>
    </w:p>
  </w:footnote>
  <w:footnote w:id="18">
    <w:p w14:paraId="1F8604B6" w14:textId="77777777" w:rsidR="00BC6BAA" w:rsidRDefault="00BC6BAA" w:rsidP="00BC6BAA">
      <w:pPr>
        <w:pStyle w:val="FootnoteText"/>
      </w:pPr>
      <w:r>
        <w:rPr>
          <w:rStyle w:val="FootnoteReference"/>
        </w:rPr>
        <w:footnoteRef/>
      </w:r>
      <w:r>
        <w:t xml:space="preserve"> Euroopa Parlamendi ja nõukogu direktiiv 2004/48/EÜ, 29. aprill 2004, intellektuaalomandi õiguste jõustamise kohta – </w:t>
      </w:r>
      <w:r w:rsidRPr="00D6736F">
        <w:t>– ELT L 157, 30</w:t>
      </w:r>
      <w:r>
        <w:t>/0</w:t>
      </w:r>
      <w:r w:rsidRPr="00D6736F">
        <w:t>4</w:t>
      </w:r>
      <w:r>
        <w:t>/</w:t>
      </w:r>
      <w:r w:rsidRPr="00D6736F">
        <w:t xml:space="preserve">2004, </w:t>
      </w:r>
      <w:r>
        <w:t>l</w:t>
      </w:r>
      <w:r w:rsidRPr="00D6736F">
        <w:t xml:space="preserve">k </w:t>
      </w:r>
      <w:r>
        <w:t>00</w:t>
      </w:r>
      <w:r w:rsidRPr="00D6736F">
        <w:t>45</w:t>
      </w:r>
      <w:r>
        <w:t xml:space="preserve"> - 00</w:t>
      </w:r>
      <w:r w:rsidRPr="00D6736F">
        <w:t>86</w:t>
      </w:r>
    </w:p>
  </w:footnote>
  <w:footnote w:id="19">
    <w:p w14:paraId="7E1C18D2" w14:textId="77777777" w:rsidR="00A43748" w:rsidRDefault="00A43748" w:rsidP="00A437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EKo</w:t>
      </w:r>
      <w:proofErr w:type="spellEnd"/>
      <w:r>
        <w:t xml:space="preserve"> </w:t>
      </w:r>
      <w:r w:rsidRPr="001717B6">
        <w:t>C</w:t>
      </w:r>
      <w:r w:rsidRPr="001717B6">
        <w:rPr>
          <w:rFonts w:ascii="Cambria Math" w:hAnsi="Cambria Math" w:cs="Cambria Math"/>
        </w:rPr>
        <w:t>‑</w:t>
      </w:r>
      <w:r w:rsidRPr="001717B6">
        <w:t>314/12</w:t>
      </w:r>
      <w:r>
        <w:t xml:space="preserve"> </w:t>
      </w:r>
      <w:r w:rsidRPr="00381B76">
        <w:rPr>
          <w:i/>
          <w:iCs/>
        </w:rPr>
        <w:t>UPC</w:t>
      </w:r>
      <w:r>
        <w:t xml:space="preserve"> </w:t>
      </w:r>
      <w:r w:rsidRPr="001717B6">
        <w:rPr>
          <w:i/>
          <w:iCs/>
        </w:rPr>
        <w:t>Telekabel</w:t>
      </w:r>
      <w:r>
        <w:t>, p 47</w:t>
      </w:r>
    </w:p>
  </w:footnote>
  <w:footnote w:id="20">
    <w:p w14:paraId="14EEE7B4" w14:textId="77777777" w:rsidR="00415B0C" w:rsidRDefault="00415B0C" w:rsidP="00415B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C3E9B">
        <w:t xml:space="preserve">Pekka S. </w:t>
      </w:r>
      <w:proofErr w:type="spellStart"/>
      <w:r w:rsidRPr="00DC3E9B">
        <w:t>Proportionality</w:t>
      </w:r>
      <w:proofErr w:type="spellEnd"/>
      <w:r w:rsidRPr="00DC3E9B">
        <w:t xml:space="preserve"> of </w:t>
      </w:r>
      <w:proofErr w:type="spellStart"/>
      <w:r w:rsidRPr="00DC3E9B">
        <w:t>Website</w:t>
      </w:r>
      <w:proofErr w:type="spellEnd"/>
      <w:r w:rsidRPr="00DC3E9B">
        <w:t xml:space="preserve"> </w:t>
      </w:r>
      <w:proofErr w:type="spellStart"/>
      <w:r w:rsidRPr="00DC3E9B">
        <w:t>Blocking</w:t>
      </w:r>
      <w:proofErr w:type="spellEnd"/>
      <w:r w:rsidRPr="00DC3E9B">
        <w:t xml:space="preserve">: Internet </w:t>
      </w:r>
      <w:proofErr w:type="spellStart"/>
      <w:r w:rsidRPr="00DC3E9B">
        <w:t>Connectivity</w:t>
      </w:r>
      <w:proofErr w:type="spellEnd"/>
      <w:r w:rsidRPr="00DC3E9B">
        <w:t xml:space="preserve"> </w:t>
      </w:r>
      <w:proofErr w:type="spellStart"/>
      <w:r w:rsidRPr="00DC3E9B">
        <w:t>Providers</w:t>
      </w:r>
      <w:proofErr w:type="spellEnd"/>
      <w:r w:rsidRPr="00DC3E9B">
        <w:t xml:space="preserve"> as Copyright </w:t>
      </w:r>
      <w:proofErr w:type="spellStart"/>
      <w:r w:rsidRPr="00DC3E9B">
        <w:t>Enforcers</w:t>
      </w:r>
      <w:proofErr w:type="spellEnd"/>
      <w:r w:rsidRPr="00DC3E9B">
        <w:t xml:space="preserve">, 5 (2014) JIPITEC 116, </w:t>
      </w:r>
      <w:proofErr w:type="spellStart"/>
      <w:r w:rsidRPr="00DC3E9B">
        <w:t>para</w:t>
      </w:r>
      <w:proofErr w:type="spellEnd"/>
      <w:r w:rsidRPr="00DC3E9B">
        <w:t>. 1. https://papers.ssrn.com/sol3/papers.cfm?abstract_id=2432259, lk 1</w:t>
      </w:r>
      <w:r>
        <w:t>27</w:t>
      </w:r>
    </w:p>
  </w:footnote>
  <w:footnote w:id="21">
    <w:p w14:paraId="2C3BAD99" w14:textId="77777777" w:rsidR="00415B0C" w:rsidRDefault="00415B0C" w:rsidP="00415B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0DA0">
        <w:t xml:space="preserve">Haav, M. (2025). Intellektuaalomandi kaitse digiajastul: veebilehtedele ligipääsu blokeerimine piraatluse tõkestamiseks. https://dspace.ut.ee/server/api/core/bitstreams/6db27921-76fb-4165-8953-460bd0c1352d/content, lk </w:t>
      </w:r>
      <w:r>
        <w:t>13</w:t>
      </w:r>
    </w:p>
  </w:footnote>
  <w:footnote w:id="22">
    <w:p w14:paraId="5458E2D0" w14:textId="77777777" w:rsidR="00102C6F" w:rsidRDefault="00102C6F" w:rsidP="00102C6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E7704">
        <w:t>https://itif.org/publications/2025/06/09/blocking-access-to-foreign-pirate-sites-a-long-overdue-task-for-congress/</w:t>
      </w:r>
    </w:p>
  </w:footnote>
  <w:footnote w:id="23">
    <w:p w14:paraId="4EF3CB3E" w14:textId="77777777" w:rsidR="004649F3" w:rsidRDefault="004649F3" w:rsidP="004649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C66A94">
        <w:t>EKo</w:t>
      </w:r>
      <w:proofErr w:type="spellEnd"/>
      <w:r w:rsidRPr="00C66A94">
        <w:t xml:space="preserve"> C</w:t>
      </w:r>
      <w:r w:rsidRPr="00C66A94">
        <w:rPr>
          <w:rFonts w:ascii="Cambria Math" w:hAnsi="Cambria Math" w:cs="Cambria Math"/>
        </w:rPr>
        <w:t>‑</w:t>
      </w:r>
      <w:r w:rsidRPr="00C66A94">
        <w:t xml:space="preserve">314/12 </w:t>
      </w:r>
      <w:r w:rsidRPr="009911AA">
        <w:rPr>
          <w:i/>
          <w:iCs/>
        </w:rPr>
        <w:t>UPC Telekabel</w:t>
      </w:r>
      <w:r w:rsidRPr="00C66A94">
        <w:t xml:space="preserve">, p </w:t>
      </w:r>
      <w:r>
        <w:t>60</w:t>
      </w:r>
    </w:p>
  </w:footnote>
  <w:footnote w:id="24">
    <w:p w14:paraId="79C8E143" w14:textId="77777777" w:rsidR="004649F3" w:rsidRDefault="004649F3" w:rsidP="004649F3">
      <w:pPr>
        <w:pStyle w:val="FootnoteText"/>
      </w:pPr>
      <w:r>
        <w:rPr>
          <w:rStyle w:val="FootnoteReference"/>
        </w:rPr>
        <w:footnoteRef/>
      </w:r>
      <w:r>
        <w:t xml:space="preserve"> Samas, p 62</w:t>
      </w:r>
    </w:p>
  </w:footnote>
  <w:footnote w:id="25">
    <w:p w14:paraId="38D9D12F" w14:textId="0557A451" w:rsidR="004114EF" w:rsidRDefault="004114E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C67736" w:rsidRPr="00C67736">
        <w:t>Frosio</w:t>
      </w:r>
      <w:proofErr w:type="spellEnd"/>
      <w:r w:rsidR="00C67736" w:rsidRPr="00C67736">
        <w:t xml:space="preserve">, G., &amp; </w:t>
      </w:r>
      <w:proofErr w:type="spellStart"/>
      <w:r w:rsidR="00C67736" w:rsidRPr="00C67736">
        <w:t>Bulayenko</w:t>
      </w:r>
      <w:proofErr w:type="spellEnd"/>
      <w:r w:rsidR="00C67736" w:rsidRPr="00C67736">
        <w:t xml:space="preserve">, O. (2021). </w:t>
      </w:r>
      <w:proofErr w:type="spellStart"/>
      <w:r w:rsidR="00C67736" w:rsidRPr="00C67736">
        <w:t>Website</w:t>
      </w:r>
      <w:proofErr w:type="spellEnd"/>
      <w:r w:rsidR="00C67736" w:rsidRPr="00C67736">
        <w:t xml:space="preserve"> </w:t>
      </w:r>
      <w:proofErr w:type="spellStart"/>
      <w:r w:rsidR="00C67736" w:rsidRPr="00C67736">
        <w:t>blocking</w:t>
      </w:r>
      <w:proofErr w:type="spellEnd"/>
      <w:r w:rsidR="00C67736" w:rsidRPr="00C67736">
        <w:t xml:space="preserve"> </w:t>
      </w:r>
      <w:proofErr w:type="spellStart"/>
      <w:r w:rsidR="00C67736" w:rsidRPr="00C67736">
        <w:t>injunctions</w:t>
      </w:r>
      <w:proofErr w:type="spellEnd"/>
      <w:r w:rsidR="00C67736" w:rsidRPr="00C67736">
        <w:t xml:space="preserve"> in </w:t>
      </w:r>
      <w:proofErr w:type="spellStart"/>
      <w:r w:rsidR="00C67736" w:rsidRPr="00C67736">
        <w:t>flux</w:t>
      </w:r>
      <w:proofErr w:type="spellEnd"/>
      <w:r w:rsidR="00C67736" w:rsidRPr="00C67736">
        <w:t xml:space="preserve">: </w:t>
      </w:r>
      <w:proofErr w:type="spellStart"/>
      <w:r w:rsidR="00C67736" w:rsidRPr="00C67736">
        <w:t>static</w:t>
      </w:r>
      <w:proofErr w:type="spellEnd"/>
      <w:r w:rsidR="00C67736" w:rsidRPr="00C67736">
        <w:t xml:space="preserve">, </w:t>
      </w:r>
      <w:proofErr w:type="spellStart"/>
      <w:r w:rsidR="00C67736" w:rsidRPr="00C67736">
        <w:t>dynamic</w:t>
      </w:r>
      <w:proofErr w:type="spellEnd"/>
      <w:r w:rsidR="00C67736" w:rsidRPr="00C67736">
        <w:t xml:space="preserve"> and </w:t>
      </w:r>
      <w:proofErr w:type="spellStart"/>
      <w:r w:rsidR="00C67736" w:rsidRPr="00C67736">
        <w:t>live</w:t>
      </w:r>
      <w:proofErr w:type="spellEnd"/>
      <w:r w:rsidR="00C67736" w:rsidRPr="00C67736">
        <w:t xml:space="preserve">. </w:t>
      </w:r>
      <w:proofErr w:type="spellStart"/>
      <w:r w:rsidR="00C67736" w:rsidRPr="00C67736">
        <w:t>Journal</w:t>
      </w:r>
      <w:proofErr w:type="spellEnd"/>
      <w:r w:rsidR="00C67736" w:rsidRPr="00C67736">
        <w:t xml:space="preserve"> of Intellectual Property Law &amp; </w:t>
      </w:r>
      <w:proofErr w:type="spellStart"/>
      <w:r w:rsidR="00C67736" w:rsidRPr="00C67736">
        <w:t>Practice</w:t>
      </w:r>
      <w:proofErr w:type="spellEnd"/>
      <w:r w:rsidR="00C67736" w:rsidRPr="00C67736">
        <w:t xml:space="preserve">, 16(10), 1127–1143. https://doi.org/10.1093/jiplp/jpab107, lk </w:t>
      </w:r>
      <w:r w:rsidR="00C67736">
        <w:t>3</w:t>
      </w:r>
    </w:p>
  </w:footnote>
  <w:footnote w:id="26">
    <w:p w14:paraId="6FB07E41" w14:textId="77777777" w:rsidR="00A43748" w:rsidRDefault="00A43748" w:rsidP="00A4374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A5787">
        <w:t>EKo</w:t>
      </w:r>
      <w:proofErr w:type="spellEnd"/>
      <w:r w:rsidRPr="00FA5787">
        <w:t xml:space="preserve"> C</w:t>
      </w:r>
      <w:r w:rsidRPr="00FA5787">
        <w:rPr>
          <w:rFonts w:ascii="Cambria Math" w:hAnsi="Cambria Math" w:cs="Cambria Math"/>
        </w:rPr>
        <w:t>‑</w:t>
      </w:r>
      <w:r w:rsidRPr="00FA5787">
        <w:t xml:space="preserve">314/12 UPC Telekabel, p </w:t>
      </w:r>
      <w:r>
        <w:t>35</w:t>
      </w:r>
    </w:p>
  </w:footnote>
  <w:footnote w:id="27">
    <w:p w14:paraId="626ED4B5" w14:textId="44ED420F" w:rsidR="000F2327" w:rsidRDefault="000F23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F2327">
        <w:t>Frosio</w:t>
      </w:r>
      <w:proofErr w:type="spellEnd"/>
      <w:r w:rsidRPr="000F2327">
        <w:t xml:space="preserve">, G., &amp; </w:t>
      </w:r>
      <w:proofErr w:type="spellStart"/>
      <w:r w:rsidRPr="000F2327">
        <w:t>Bulayenko</w:t>
      </w:r>
      <w:proofErr w:type="spellEnd"/>
      <w:r w:rsidRPr="000F2327">
        <w:t xml:space="preserve">, O. (2021). </w:t>
      </w:r>
      <w:proofErr w:type="spellStart"/>
      <w:r w:rsidRPr="000F2327">
        <w:t>Website</w:t>
      </w:r>
      <w:proofErr w:type="spellEnd"/>
      <w:r w:rsidRPr="000F2327">
        <w:t xml:space="preserve"> </w:t>
      </w:r>
      <w:proofErr w:type="spellStart"/>
      <w:r w:rsidRPr="000F2327">
        <w:t>blocking</w:t>
      </w:r>
      <w:proofErr w:type="spellEnd"/>
      <w:r w:rsidRPr="000F2327">
        <w:t xml:space="preserve"> </w:t>
      </w:r>
      <w:proofErr w:type="spellStart"/>
      <w:r w:rsidRPr="000F2327">
        <w:t>injunctions</w:t>
      </w:r>
      <w:proofErr w:type="spellEnd"/>
      <w:r w:rsidRPr="000F2327">
        <w:t xml:space="preserve"> in </w:t>
      </w:r>
      <w:proofErr w:type="spellStart"/>
      <w:r w:rsidRPr="000F2327">
        <w:t>flux</w:t>
      </w:r>
      <w:proofErr w:type="spellEnd"/>
      <w:r w:rsidRPr="000F2327">
        <w:t xml:space="preserve">: </w:t>
      </w:r>
      <w:proofErr w:type="spellStart"/>
      <w:r w:rsidRPr="000F2327">
        <w:t>static</w:t>
      </w:r>
      <w:proofErr w:type="spellEnd"/>
      <w:r w:rsidRPr="000F2327">
        <w:t xml:space="preserve">, </w:t>
      </w:r>
      <w:proofErr w:type="spellStart"/>
      <w:r w:rsidRPr="000F2327">
        <w:t>dynamic</w:t>
      </w:r>
      <w:proofErr w:type="spellEnd"/>
      <w:r w:rsidRPr="000F2327">
        <w:t xml:space="preserve"> and </w:t>
      </w:r>
      <w:proofErr w:type="spellStart"/>
      <w:r w:rsidRPr="000F2327">
        <w:t>live</w:t>
      </w:r>
      <w:proofErr w:type="spellEnd"/>
      <w:r w:rsidRPr="000F2327">
        <w:t xml:space="preserve">. </w:t>
      </w:r>
      <w:proofErr w:type="spellStart"/>
      <w:r w:rsidRPr="000F2327">
        <w:t>Journal</w:t>
      </w:r>
      <w:proofErr w:type="spellEnd"/>
      <w:r w:rsidRPr="000F2327">
        <w:t xml:space="preserve"> of Intellectual Property Law &amp; </w:t>
      </w:r>
      <w:proofErr w:type="spellStart"/>
      <w:r w:rsidRPr="000F2327">
        <w:t>Practice</w:t>
      </w:r>
      <w:proofErr w:type="spellEnd"/>
      <w:r w:rsidRPr="000F2327">
        <w:t xml:space="preserve">, 16(10), 1127–1143. https://doi.org/10.1093/jiplp/jpab107, lk </w:t>
      </w:r>
      <w:r w:rsidR="0078565B">
        <w:t>28</w:t>
      </w:r>
    </w:p>
  </w:footnote>
  <w:footnote w:id="28">
    <w:p w14:paraId="526F1C87" w14:textId="748544AE" w:rsidR="001F7D58" w:rsidRDefault="001F7D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F7D58">
        <w:t>Farmaki</w:t>
      </w:r>
      <w:proofErr w:type="spellEnd"/>
      <w:r w:rsidRPr="001F7D58">
        <w:t xml:space="preserve">, D. (2021). The </w:t>
      </w:r>
      <w:proofErr w:type="spellStart"/>
      <w:r w:rsidRPr="001F7D58">
        <w:t>effectiveness</w:t>
      </w:r>
      <w:proofErr w:type="spellEnd"/>
      <w:r w:rsidRPr="001F7D58">
        <w:t xml:space="preserve"> of </w:t>
      </w:r>
      <w:proofErr w:type="spellStart"/>
      <w:r w:rsidRPr="001F7D58">
        <w:t>blocking</w:t>
      </w:r>
      <w:proofErr w:type="spellEnd"/>
      <w:r w:rsidRPr="001F7D58">
        <w:t xml:space="preserve"> </w:t>
      </w:r>
      <w:proofErr w:type="spellStart"/>
      <w:r w:rsidRPr="001F7D58">
        <w:t>injunctions</w:t>
      </w:r>
      <w:proofErr w:type="spellEnd"/>
      <w:r w:rsidRPr="001F7D58">
        <w:t xml:space="preserve"> </w:t>
      </w:r>
      <w:proofErr w:type="spellStart"/>
      <w:r w:rsidRPr="001F7D58">
        <w:t>against</w:t>
      </w:r>
      <w:proofErr w:type="spellEnd"/>
      <w:r w:rsidRPr="001F7D58">
        <w:t xml:space="preserve"> </w:t>
      </w:r>
      <w:proofErr w:type="spellStart"/>
      <w:r w:rsidRPr="001F7D58">
        <w:t>ISPs</w:t>
      </w:r>
      <w:proofErr w:type="spellEnd"/>
      <w:r w:rsidRPr="001F7D58">
        <w:t xml:space="preserve"> in </w:t>
      </w:r>
      <w:proofErr w:type="spellStart"/>
      <w:r w:rsidRPr="001F7D58">
        <w:t>respect</w:t>
      </w:r>
      <w:proofErr w:type="spellEnd"/>
      <w:r w:rsidRPr="001F7D58">
        <w:t xml:space="preserve"> of online </w:t>
      </w:r>
      <w:proofErr w:type="spellStart"/>
      <w:r w:rsidRPr="001F7D58">
        <w:t>copyright</w:t>
      </w:r>
      <w:proofErr w:type="spellEnd"/>
      <w:r w:rsidRPr="001F7D58">
        <w:t xml:space="preserve"> </w:t>
      </w:r>
      <w:proofErr w:type="spellStart"/>
      <w:r w:rsidRPr="001F7D58">
        <w:t>infringement</w:t>
      </w:r>
      <w:proofErr w:type="spellEnd"/>
      <w:r w:rsidRPr="001F7D58">
        <w:t xml:space="preserve"> in Europe: a </w:t>
      </w:r>
      <w:proofErr w:type="spellStart"/>
      <w:r w:rsidRPr="001F7D58">
        <w:t>comparative</w:t>
      </w:r>
      <w:proofErr w:type="spellEnd"/>
      <w:r w:rsidRPr="001F7D58">
        <w:t xml:space="preserve"> </w:t>
      </w:r>
      <w:proofErr w:type="spellStart"/>
      <w:r w:rsidRPr="001F7D58">
        <w:t>analysis</w:t>
      </w:r>
      <w:proofErr w:type="spellEnd"/>
      <w:r w:rsidRPr="001F7D58">
        <w:t xml:space="preserve"> </w:t>
      </w:r>
      <w:proofErr w:type="spellStart"/>
      <w:r w:rsidRPr="001F7D58">
        <w:t>from</w:t>
      </w:r>
      <w:proofErr w:type="spellEnd"/>
      <w:r w:rsidRPr="001F7D58">
        <w:t xml:space="preserve"> </w:t>
      </w:r>
      <w:proofErr w:type="spellStart"/>
      <w:r w:rsidRPr="001F7D58">
        <w:t>the</w:t>
      </w:r>
      <w:proofErr w:type="spellEnd"/>
      <w:r w:rsidRPr="001F7D58">
        <w:t xml:space="preserve"> UK, </w:t>
      </w:r>
      <w:proofErr w:type="spellStart"/>
      <w:r w:rsidRPr="001F7D58">
        <w:t>Greece</w:t>
      </w:r>
      <w:proofErr w:type="spellEnd"/>
      <w:r w:rsidRPr="001F7D58">
        <w:t xml:space="preserve"> and </w:t>
      </w:r>
      <w:proofErr w:type="spellStart"/>
      <w:r w:rsidRPr="001F7D58">
        <w:t>the</w:t>
      </w:r>
      <w:proofErr w:type="spellEnd"/>
      <w:r w:rsidRPr="001F7D58">
        <w:t xml:space="preserve"> Nordic </w:t>
      </w:r>
      <w:proofErr w:type="spellStart"/>
      <w:r w:rsidRPr="001F7D58">
        <w:t>countries</w:t>
      </w:r>
      <w:proofErr w:type="spellEnd"/>
      <w:r w:rsidRPr="001F7D58">
        <w:t xml:space="preserve">. Stockholm Intellectual Property Law </w:t>
      </w:r>
      <w:proofErr w:type="spellStart"/>
      <w:r w:rsidRPr="001F7D58">
        <w:t>Review</w:t>
      </w:r>
      <w:proofErr w:type="spellEnd"/>
      <w:r w:rsidRPr="001F7D58">
        <w:t xml:space="preserve"> , 4(2), 6–17. https://doi.org/10.59625/siplr.v4i2.14086, lk </w:t>
      </w:r>
      <w:r w:rsidR="00A067CE">
        <w:t>13</w:t>
      </w:r>
    </w:p>
  </w:footnote>
  <w:footnote w:id="29">
    <w:p w14:paraId="5CA5E4B1" w14:textId="171C96E3" w:rsidR="001159F2" w:rsidRDefault="001159F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1159F2">
        <w:t>Frosio</w:t>
      </w:r>
      <w:proofErr w:type="spellEnd"/>
      <w:r w:rsidRPr="001159F2">
        <w:t xml:space="preserve">, G., &amp; </w:t>
      </w:r>
      <w:proofErr w:type="spellStart"/>
      <w:r w:rsidRPr="001159F2">
        <w:t>Bulayenko</w:t>
      </w:r>
      <w:proofErr w:type="spellEnd"/>
      <w:r w:rsidRPr="001159F2">
        <w:t xml:space="preserve">, O. (2021). </w:t>
      </w:r>
      <w:proofErr w:type="spellStart"/>
      <w:r w:rsidRPr="001159F2">
        <w:t>Website</w:t>
      </w:r>
      <w:proofErr w:type="spellEnd"/>
      <w:r w:rsidRPr="001159F2">
        <w:t xml:space="preserve"> </w:t>
      </w:r>
      <w:proofErr w:type="spellStart"/>
      <w:r w:rsidRPr="001159F2">
        <w:t>blocking</w:t>
      </w:r>
      <w:proofErr w:type="spellEnd"/>
      <w:r w:rsidRPr="001159F2">
        <w:t xml:space="preserve"> </w:t>
      </w:r>
      <w:proofErr w:type="spellStart"/>
      <w:r w:rsidRPr="001159F2">
        <w:t>injunctions</w:t>
      </w:r>
      <w:proofErr w:type="spellEnd"/>
      <w:r w:rsidRPr="001159F2">
        <w:t xml:space="preserve"> in </w:t>
      </w:r>
      <w:proofErr w:type="spellStart"/>
      <w:r w:rsidRPr="001159F2">
        <w:t>flux</w:t>
      </w:r>
      <w:proofErr w:type="spellEnd"/>
      <w:r w:rsidRPr="001159F2">
        <w:t xml:space="preserve">: </w:t>
      </w:r>
      <w:proofErr w:type="spellStart"/>
      <w:r w:rsidRPr="001159F2">
        <w:t>static</w:t>
      </w:r>
      <w:proofErr w:type="spellEnd"/>
      <w:r w:rsidRPr="001159F2">
        <w:t xml:space="preserve">, </w:t>
      </w:r>
      <w:proofErr w:type="spellStart"/>
      <w:r w:rsidRPr="001159F2">
        <w:t>dynamic</w:t>
      </w:r>
      <w:proofErr w:type="spellEnd"/>
      <w:r w:rsidRPr="001159F2">
        <w:t xml:space="preserve"> and </w:t>
      </w:r>
      <w:proofErr w:type="spellStart"/>
      <w:r w:rsidRPr="001159F2">
        <w:t>live</w:t>
      </w:r>
      <w:proofErr w:type="spellEnd"/>
      <w:r w:rsidRPr="001159F2">
        <w:t xml:space="preserve">. </w:t>
      </w:r>
      <w:proofErr w:type="spellStart"/>
      <w:r w:rsidRPr="001159F2">
        <w:t>Journal</w:t>
      </w:r>
      <w:proofErr w:type="spellEnd"/>
      <w:r w:rsidRPr="001159F2">
        <w:t xml:space="preserve"> of Intellectual Property Law &amp; </w:t>
      </w:r>
      <w:proofErr w:type="spellStart"/>
      <w:r w:rsidRPr="001159F2">
        <w:t>Practice</w:t>
      </w:r>
      <w:proofErr w:type="spellEnd"/>
      <w:r w:rsidRPr="001159F2">
        <w:t xml:space="preserve">, 16(10), 1127–1143. https://doi.org/10.1093/jiplp/jpab107, lk </w:t>
      </w:r>
      <w:r w:rsidR="00985454">
        <w:t>10</w:t>
      </w:r>
    </w:p>
  </w:footnote>
  <w:footnote w:id="30">
    <w:p w14:paraId="67F47F35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Euroopa Parlamendi ja nõukogu määrus (EL) 2022/2065, 19. oktoober 2022, mis käsitleb digiteenuste ühtset turgu ja millega muudetakse direktiivi 2000/31/EÜ (digiteenuste määrus) – ELT L </w:t>
      </w:r>
      <w:r w:rsidRPr="009B2E43">
        <w:t>277, 27.10.2022, lk 1–102</w:t>
      </w:r>
    </w:p>
  </w:footnote>
  <w:footnote w:id="31">
    <w:p w14:paraId="29C0F25E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Frosio</w:t>
      </w:r>
      <w:proofErr w:type="spellEnd"/>
      <w:r>
        <w:t xml:space="preserve">, G., &amp; </w:t>
      </w:r>
      <w:proofErr w:type="spellStart"/>
      <w:r>
        <w:t>Bulayenko</w:t>
      </w:r>
      <w:proofErr w:type="spellEnd"/>
      <w:r>
        <w:t xml:space="preserve">, O. (2021). </w:t>
      </w:r>
      <w:proofErr w:type="spellStart"/>
      <w:r>
        <w:t>Website</w:t>
      </w:r>
      <w:proofErr w:type="spellEnd"/>
      <w:r>
        <w:t xml:space="preserve"> </w:t>
      </w:r>
      <w:proofErr w:type="spellStart"/>
      <w:r>
        <w:t>blocking</w:t>
      </w:r>
      <w:proofErr w:type="spellEnd"/>
      <w:r>
        <w:t xml:space="preserve"> </w:t>
      </w:r>
      <w:proofErr w:type="spellStart"/>
      <w:r>
        <w:t>injunctions</w:t>
      </w:r>
      <w:proofErr w:type="spellEnd"/>
      <w:r>
        <w:t xml:space="preserve"> in </w:t>
      </w:r>
      <w:proofErr w:type="spellStart"/>
      <w:r>
        <w:t>flux</w:t>
      </w:r>
      <w:proofErr w:type="spellEnd"/>
      <w:r>
        <w:t xml:space="preserve">: </w:t>
      </w:r>
      <w:proofErr w:type="spellStart"/>
      <w:r>
        <w:t>static</w:t>
      </w:r>
      <w:proofErr w:type="spellEnd"/>
      <w:r>
        <w:t xml:space="preserve">, </w:t>
      </w:r>
      <w:proofErr w:type="spellStart"/>
      <w:r>
        <w:t>dynamic</w:t>
      </w:r>
      <w:proofErr w:type="spellEnd"/>
      <w:r>
        <w:t xml:space="preserve"> and </w:t>
      </w:r>
      <w:proofErr w:type="spellStart"/>
      <w:r>
        <w:t>live</w:t>
      </w:r>
      <w:proofErr w:type="spellEnd"/>
      <w:r>
        <w:t xml:space="preserve">. </w:t>
      </w:r>
      <w:proofErr w:type="spellStart"/>
      <w:r>
        <w:t>Journal</w:t>
      </w:r>
      <w:proofErr w:type="spellEnd"/>
      <w:r>
        <w:t xml:space="preserve"> of Intellectual Property Law &amp; </w:t>
      </w:r>
      <w:proofErr w:type="spellStart"/>
      <w:r>
        <w:t>Practice</w:t>
      </w:r>
      <w:proofErr w:type="spellEnd"/>
      <w:r>
        <w:t xml:space="preserve">, 16(10), 1127–1143. </w:t>
      </w:r>
      <w:hyperlink r:id="rId1" w:history="1">
        <w:r w:rsidRPr="00174662">
          <w:rPr>
            <w:rStyle w:val="Hyperlink"/>
            <w:sz w:val="20"/>
          </w:rPr>
          <w:t>https://doi.org/10.1093/jiplp/jpab107</w:t>
        </w:r>
      </w:hyperlink>
      <w:r>
        <w:t>, lk 6</w:t>
      </w:r>
    </w:p>
  </w:footnote>
  <w:footnote w:id="32">
    <w:p w14:paraId="6A1EB904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Leedu blokeerimismeetmete määruse § 49, </w:t>
      </w:r>
      <w:hyperlink r:id="rId2" w:history="1">
        <w:r w:rsidRPr="00103C10">
          <w:rPr>
            <w:rStyle w:val="Hyperlink"/>
            <w:sz w:val="20"/>
          </w:rPr>
          <w:t>https://e-tar.lt/portal/lt/legalAct/a55f4850511c11e9975f9c35aedfe438/asr</w:t>
        </w:r>
      </w:hyperlink>
    </w:p>
  </w:footnote>
  <w:footnote w:id="33">
    <w:p w14:paraId="37ACC97C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Samas, § 50</w:t>
      </w:r>
    </w:p>
  </w:footnote>
  <w:footnote w:id="34">
    <w:p w14:paraId="7ABA7DA0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CPI 2. osakonna kuningliku dekreedi artikkel 22 lg 4, </w:t>
      </w:r>
      <w:r w:rsidRPr="00FA2B65">
        <w:t>https://www.boe.es/buscar/doc.php?id=BOE-A-2023-25766</w:t>
      </w:r>
    </w:p>
  </w:footnote>
  <w:footnote w:id="35">
    <w:p w14:paraId="5F724C53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Samas, artikkel 23 lg 1</w:t>
      </w:r>
    </w:p>
  </w:footnote>
  <w:footnote w:id="36">
    <w:p w14:paraId="3EE6E6E4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Samas, artikkel 24 </w:t>
      </w:r>
      <w:proofErr w:type="spellStart"/>
      <w:r>
        <w:t>lg-d</w:t>
      </w:r>
      <w:proofErr w:type="spellEnd"/>
      <w:r>
        <w:t xml:space="preserve"> 1, 3, 5</w:t>
      </w:r>
    </w:p>
  </w:footnote>
  <w:footnote w:id="37">
    <w:p w14:paraId="3B349165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Samas, artikkel 24 lg 6</w:t>
      </w:r>
    </w:p>
  </w:footnote>
  <w:footnote w:id="38">
    <w:p w14:paraId="6ABA9DFD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AGCOM määruse artikkel 8 lg 2, </w:t>
      </w:r>
      <w:r w:rsidRPr="00481D64">
        <w:t>https://biblioteche.cultura.gov.it/it/documenti/Eventi/2014/35.REGOLAMENTO_AGCOM.pdf</w:t>
      </w:r>
    </w:p>
  </w:footnote>
  <w:footnote w:id="39">
    <w:p w14:paraId="144BEBFF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Samas, artikkel 17</w:t>
      </w:r>
    </w:p>
  </w:footnote>
  <w:footnote w:id="40">
    <w:p w14:paraId="3FA95D7E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Kreeka autoriõiguse seaduse artikkel 66E lg 8, </w:t>
      </w:r>
      <w:r w:rsidRPr="00282174">
        <w:t>https://library.opi.gr/en/law-2121-1993/#a66e</w:t>
      </w:r>
    </w:p>
  </w:footnote>
  <w:footnote w:id="41">
    <w:p w14:paraId="5F748C07" w14:textId="77777777" w:rsidR="00021897" w:rsidRDefault="00021897" w:rsidP="00021897">
      <w:pPr>
        <w:pStyle w:val="FootnoteText"/>
      </w:pPr>
      <w:r>
        <w:rPr>
          <w:rStyle w:val="FootnoteReference"/>
        </w:rPr>
        <w:footnoteRef/>
      </w:r>
      <w:r>
        <w:t xml:space="preserve"> Samas, artikkel 66E lg 13</w:t>
      </w:r>
    </w:p>
  </w:footnote>
  <w:footnote w:id="42">
    <w:p w14:paraId="042B2872" w14:textId="452CABF8" w:rsidR="003F4680" w:rsidRDefault="003F46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81628">
        <w:t xml:space="preserve">Läti autoriõiguse seaduse artikkel </w:t>
      </w:r>
      <w:r w:rsidR="00581628" w:rsidRPr="00581628">
        <w:t>71.1</w:t>
      </w:r>
      <w:r w:rsidR="00581628">
        <w:t xml:space="preserve"> jj, </w:t>
      </w:r>
      <w:r w:rsidR="00581628" w:rsidRPr="00581628">
        <w:t>https://likumi.lv/ta/id/5138-autortiesibu-likums</w:t>
      </w:r>
    </w:p>
  </w:footnote>
  <w:footnote w:id="43">
    <w:p w14:paraId="563D76B1" w14:textId="3F346F6D" w:rsidR="00EB06EF" w:rsidRDefault="00EB06EF">
      <w:pPr>
        <w:pStyle w:val="FootnoteText"/>
      </w:pPr>
      <w:r>
        <w:rPr>
          <w:rStyle w:val="FootnoteReference"/>
        </w:rPr>
        <w:footnoteRef/>
      </w:r>
      <w:r>
        <w:t xml:space="preserve"> Samas, artikkel </w:t>
      </w:r>
      <w:r w:rsidRPr="00EB06EF">
        <w:t>71.6</w:t>
      </w:r>
    </w:p>
  </w:footnote>
  <w:footnote w:id="44">
    <w:p w14:paraId="5DD4A530" w14:textId="401940A5" w:rsidR="00D96B30" w:rsidRDefault="00D96B3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6B30">
        <w:t>https://www.emta.ee/ariklient/registreerimine-ettevotlus/hasartmangukorraldajale/blokeeritud-hasartmangu</w:t>
      </w:r>
    </w:p>
  </w:footnote>
  <w:footnote w:id="45">
    <w:p w14:paraId="5954B7B1" w14:textId="7FCF9CB7" w:rsidR="004244AA" w:rsidRDefault="004244A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44AA">
        <w:t xml:space="preserve">Haav, M. (2025). Intellektuaalomandi kaitse digiajastul: veebilehtedele ligipääsu blokeerimine piraatluse tõkestamiseks. https://dspace.ut.ee/server/api/core/bitstreams/6db27921-76fb-4165-8953-460bd0c1352d/content, lk </w:t>
      </w:r>
      <w:r>
        <w:t>36</w:t>
      </w:r>
    </w:p>
  </w:footnote>
  <w:footnote w:id="46">
    <w:p w14:paraId="28AB480F" w14:textId="77777777" w:rsidR="004A62C9" w:rsidRDefault="004A62C9" w:rsidP="004A62C9">
      <w:pPr>
        <w:pStyle w:val="FootnoteText"/>
      </w:pPr>
      <w:r>
        <w:rPr>
          <w:rStyle w:val="FootnoteReference"/>
        </w:rPr>
        <w:footnoteRef/>
      </w:r>
      <w:r>
        <w:t xml:space="preserve"> Samas, lk 36</w:t>
      </w:r>
    </w:p>
  </w:footnote>
  <w:footnote w:id="47">
    <w:p w14:paraId="7C41F594" w14:textId="17EA1C7C" w:rsidR="00F87074" w:rsidRDefault="00F870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87074">
        <w:t xml:space="preserve">Euroopa Komisjon. </w:t>
      </w:r>
      <w:proofErr w:type="spellStart"/>
      <w:r w:rsidRPr="00F87074">
        <w:t>Follow-up</w:t>
      </w:r>
      <w:proofErr w:type="spellEnd"/>
      <w:r w:rsidRPr="00F87074">
        <w:t xml:space="preserve"> </w:t>
      </w:r>
      <w:proofErr w:type="spellStart"/>
      <w:r w:rsidRPr="00F87074">
        <w:t>study</w:t>
      </w:r>
      <w:proofErr w:type="spellEnd"/>
      <w:r w:rsidRPr="00F87074">
        <w:t xml:space="preserve"> on </w:t>
      </w:r>
      <w:proofErr w:type="spellStart"/>
      <w:r w:rsidRPr="00F87074">
        <w:t>the</w:t>
      </w:r>
      <w:proofErr w:type="spellEnd"/>
      <w:r w:rsidRPr="00F87074">
        <w:t xml:space="preserve"> </w:t>
      </w:r>
      <w:proofErr w:type="spellStart"/>
      <w:r w:rsidRPr="00F87074">
        <w:t>application</w:t>
      </w:r>
      <w:proofErr w:type="spellEnd"/>
      <w:r w:rsidRPr="00F87074">
        <w:t xml:space="preserve"> of </w:t>
      </w:r>
      <w:proofErr w:type="spellStart"/>
      <w:r w:rsidRPr="00F87074">
        <w:t>the</w:t>
      </w:r>
      <w:proofErr w:type="spellEnd"/>
      <w:r w:rsidRPr="00F87074">
        <w:t xml:space="preserve"> </w:t>
      </w:r>
      <w:proofErr w:type="spellStart"/>
      <w:r w:rsidRPr="00F87074">
        <w:t>Directive</w:t>
      </w:r>
      <w:proofErr w:type="spellEnd"/>
      <w:r w:rsidRPr="00F87074">
        <w:t xml:space="preserve"> on </w:t>
      </w:r>
      <w:proofErr w:type="spellStart"/>
      <w:r w:rsidRPr="00F87074">
        <w:t>the</w:t>
      </w:r>
      <w:proofErr w:type="spellEnd"/>
      <w:r w:rsidRPr="00F87074">
        <w:t xml:space="preserve"> </w:t>
      </w:r>
      <w:proofErr w:type="spellStart"/>
      <w:r w:rsidRPr="00F87074">
        <w:t>Enforcement</w:t>
      </w:r>
      <w:proofErr w:type="spellEnd"/>
      <w:r w:rsidRPr="00F87074">
        <w:t xml:space="preserve"> of Intellectual Property </w:t>
      </w:r>
      <w:proofErr w:type="spellStart"/>
      <w:r w:rsidRPr="00F87074">
        <w:t>Rights</w:t>
      </w:r>
      <w:proofErr w:type="spellEnd"/>
      <w:r w:rsidRPr="00F87074">
        <w:t xml:space="preserve">. </w:t>
      </w:r>
      <w:proofErr w:type="spellStart"/>
      <w:r w:rsidRPr="00F87074">
        <w:t>Final</w:t>
      </w:r>
      <w:proofErr w:type="spellEnd"/>
      <w:r w:rsidRPr="00F87074">
        <w:t xml:space="preserve"> </w:t>
      </w:r>
      <w:proofErr w:type="spellStart"/>
      <w:r w:rsidRPr="00F87074">
        <w:t>report</w:t>
      </w:r>
      <w:proofErr w:type="spellEnd"/>
      <w:r w:rsidRPr="00F87074">
        <w:t xml:space="preserve">, lk </w:t>
      </w:r>
      <w:r w:rsidR="00CD79F7">
        <w:t>74</w:t>
      </w:r>
    </w:p>
  </w:footnote>
  <w:footnote w:id="48">
    <w:p w14:paraId="22CA544F" w14:textId="5B1EC5F4" w:rsidR="00372EBE" w:rsidRDefault="00372E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0B51BB" w:rsidRPr="000B51BB">
        <w:t xml:space="preserve">Code de la </w:t>
      </w:r>
      <w:proofErr w:type="spellStart"/>
      <w:r w:rsidR="000B51BB" w:rsidRPr="000B51BB">
        <w:t>propriété</w:t>
      </w:r>
      <w:proofErr w:type="spellEnd"/>
      <w:r w:rsidR="000B51BB" w:rsidRPr="000B51BB">
        <w:t xml:space="preserve"> </w:t>
      </w:r>
      <w:proofErr w:type="spellStart"/>
      <w:r w:rsidR="000B51BB" w:rsidRPr="000B51BB">
        <w:t>intellectuelle</w:t>
      </w:r>
      <w:proofErr w:type="spellEnd"/>
      <w:r w:rsidR="000B51BB">
        <w:t xml:space="preserve"> a</w:t>
      </w:r>
      <w:r w:rsidR="00E332FD">
        <w:t xml:space="preserve">rt </w:t>
      </w:r>
      <w:r w:rsidR="00E332FD" w:rsidRPr="00E332FD">
        <w:t>L336-2</w:t>
      </w:r>
    </w:p>
  </w:footnote>
  <w:footnote w:id="49">
    <w:p w14:paraId="005BEA88" w14:textId="1E96DBA7" w:rsidR="000B51BB" w:rsidRDefault="000B51BB">
      <w:pPr>
        <w:pStyle w:val="FootnoteText"/>
      </w:pPr>
      <w:r>
        <w:rPr>
          <w:rStyle w:val="FootnoteReference"/>
        </w:rPr>
        <w:footnoteRef/>
      </w:r>
      <w:r>
        <w:t xml:space="preserve"> Soome autoriõiguse seaduse </w:t>
      </w:r>
      <w:r w:rsidR="00317BA5">
        <w:t xml:space="preserve">§ 60e, </w:t>
      </w:r>
      <w:hyperlink r:id="rId3" w:history="1">
        <w:r w:rsidR="00317BA5" w:rsidRPr="00202AE3">
          <w:rPr>
            <w:rStyle w:val="Hyperlink"/>
            <w:sz w:val="20"/>
          </w:rPr>
          <w:t>https://www.wipo.int/wipolex/en/legislation/details/22374</w:t>
        </w:r>
      </w:hyperlink>
      <w:r w:rsidR="00317BA5">
        <w:t xml:space="preserve"> </w:t>
      </w:r>
    </w:p>
  </w:footnote>
  <w:footnote w:id="50">
    <w:p w14:paraId="6519E1D9" w14:textId="19C706C1" w:rsidR="000E10E7" w:rsidRDefault="000E10E7">
      <w:pPr>
        <w:pStyle w:val="FootnoteText"/>
      </w:pPr>
      <w:r>
        <w:rPr>
          <w:rStyle w:val="FootnoteReference"/>
        </w:rPr>
        <w:footnoteRef/>
      </w:r>
      <w:r>
        <w:t xml:space="preserve"> Belgia </w:t>
      </w:r>
      <w:r w:rsidR="00E61FB0">
        <w:t>C</w:t>
      </w:r>
      <w:r w:rsidR="00E61FB0" w:rsidRPr="00E61FB0">
        <w:t xml:space="preserve">ode de </w:t>
      </w:r>
      <w:proofErr w:type="spellStart"/>
      <w:r w:rsidR="00E61FB0">
        <w:t>D</w:t>
      </w:r>
      <w:r w:rsidR="00E61FB0" w:rsidRPr="00E61FB0">
        <w:t>roit</w:t>
      </w:r>
      <w:proofErr w:type="spellEnd"/>
      <w:r w:rsidR="00E61FB0" w:rsidRPr="00E61FB0">
        <w:t xml:space="preserve"> </w:t>
      </w:r>
      <w:proofErr w:type="spellStart"/>
      <w:r w:rsidR="00E61FB0" w:rsidRPr="00E61FB0">
        <w:t>Économique</w:t>
      </w:r>
      <w:proofErr w:type="spellEnd"/>
      <w:r w:rsidR="00E61FB0">
        <w:t xml:space="preserve"> </w:t>
      </w:r>
      <w:r w:rsidR="00636E32">
        <w:t>a</w:t>
      </w:r>
      <w:r w:rsidR="00636E32" w:rsidRPr="00636E32">
        <w:t>rt XI.334</w:t>
      </w:r>
      <w:r w:rsidR="00636E32">
        <w:t xml:space="preserve">, </w:t>
      </w:r>
      <w:r w:rsidRPr="000E10E7">
        <w:t>https://www.wipo.int/wipolex/en/legislation/details/22717</w:t>
      </w:r>
    </w:p>
  </w:footnote>
  <w:footnote w:id="51">
    <w:p w14:paraId="7CF24DA5" w14:textId="35694C52" w:rsidR="00B320E5" w:rsidRDefault="00B320E5">
      <w:pPr>
        <w:pStyle w:val="FootnoteText"/>
      </w:pPr>
      <w:r>
        <w:rPr>
          <w:rStyle w:val="FootnoteReference"/>
        </w:rPr>
        <w:footnoteRef/>
      </w:r>
      <w:r>
        <w:t xml:space="preserve"> Rootsi autoriõiguse seadus art </w:t>
      </w:r>
      <w:r w:rsidR="00AF3C62">
        <w:t xml:space="preserve">53 b, </w:t>
      </w:r>
      <w:r w:rsidRPr="00B320E5">
        <w:t>https://rkrattsbaser.gov.se/sfst?bet=1960:729</w:t>
      </w:r>
    </w:p>
  </w:footnote>
  <w:footnote w:id="52">
    <w:p w14:paraId="0BA7CF04" w14:textId="106FFCE0" w:rsidR="00F363F3" w:rsidRDefault="00F363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56C17" w:rsidRPr="00D56C17">
        <w:t>S.I. No. 59/2012</w:t>
      </w:r>
      <w:r w:rsidR="00D56C17">
        <w:t xml:space="preserve">, </w:t>
      </w:r>
      <w:r w:rsidRPr="00F363F3">
        <w:t>https://www.irishstatutebook.ie/eli/2012/si/59/made/en/print</w:t>
      </w:r>
    </w:p>
  </w:footnote>
  <w:footnote w:id="53">
    <w:p w14:paraId="0229089C" w14:textId="6DF13995" w:rsidR="00F44429" w:rsidRDefault="00F4442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5D3A" w:rsidRPr="00F87074">
        <w:t xml:space="preserve">Euroopa Komisjon. </w:t>
      </w:r>
      <w:proofErr w:type="spellStart"/>
      <w:r w:rsidR="00195D3A" w:rsidRPr="00F87074">
        <w:t>Follow-up</w:t>
      </w:r>
      <w:proofErr w:type="spellEnd"/>
      <w:r w:rsidR="00195D3A" w:rsidRPr="00F87074">
        <w:t xml:space="preserve"> </w:t>
      </w:r>
      <w:proofErr w:type="spellStart"/>
      <w:r w:rsidR="00195D3A" w:rsidRPr="00F87074">
        <w:t>study</w:t>
      </w:r>
      <w:proofErr w:type="spellEnd"/>
      <w:r w:rsidR="00195D3A" w:rsidRPr="00F87074">
        <w:t xml:space="preserve"> on </w:t>
      </w:r>
      <w:proofErr w:type="spellStart"/>
      <w:r w:rsidR="00195D3A" w:rsidRPr="00F87074">
        <w:t>the</w:t>
      </w:r>
      <w:proofErr w:type="spellEnd"/>
      <w:r w:rsidR="00195D3A" w:rsidRPr="00F87074">
        <w:t xml:space="preserve"> </w:t>
      </w:r>
      <w:proofErr w:type="spellStart"/>
      <w:r w:rsidR="00195D3A" w:rsidRPr="00F87074">
        <w:t>application</w:t>
      </w:r>
      <w:proofErr w:type="spellEnd"/>
      <w:r w:rsidR="00195D3A" w:rsidRPr="00F87074">
        <w:t xml:space="preserve"> of </w:t>
      </w:r>
      <w:proofErr w:type="spellStart"/>
      <w:r w:rsidR="00195D3A" w:rsidRPr="00F87074">
        <w:t>the</w:t>
      </w:r>
      <w:proofErr w:type="spellEnd"/>
      <w:r w:rsidR="00195D3A" w:rsidRPr="00F87074">
        <w:t xml:space="preserve"> </w:t>
      </w:r>
      <w:proofErr w:type="spellStart"/>
      <w:r w:rsidR="00195D3A" w:rsidRPr="00F87074">
        <w:t>Directive</w:t>
      </w:r>
      <w:proofErr w:type="spellEnd"/>
      <w:r w:rsidR="00195D3A" w:rsidRPr="00F87074">
        <w:t xml:space="preserve"> on </w:t>
      </w:r>
      <w:proofErr w:type="spellStart"/>
      <w:r w:rsidR="00195D3A" w:rsidRPr="00F87074">
        <w:t>the</w:t>
      </w:r>
      <w:proofErr w:type="spellEnd"/>
      <w:r w:rsidR="00195D3A" w:rsidRPr="00F87074">
        <w:t xml:space="preserve"> </w:t>
      </w:r>
      <w:proofErr w:type="spellStart"/>
      <w:r w:rsidR="00195D3A" w:rsidRPr="00F87074">
        <w:t>Enforcement</w:t>
      </w:r>
      <w:proofErr w:type="spellEnd"/>
      <w:r w:rsidR="00195D3A" w:rsidRPr="00F87074">
        <w:t xml:space="preserve"> of Intellectual Property </w:t>
      </w:r>
      <w:proofErr w:type="spellStart"/>
      <w:r w:rsidR="00195D3A" w:rsidRPr="00F87074">
        <w:t>Rights</w:t>
      </w:r>
      <w:proofErr w:type="spellEnd"/>
      <w:r w:rsidR="00195D3A" w:rsidRPr="00F87074">
        <w:t xml:space="preserve">. </w:t>
      </w:r>
      <w:proofErr w:type="spellStart"/>
      <w:r w:rsidR="00195D3A" w:rsidRPr="00F87074">
        <w:t>Final</w:t>
      </w:r>
      <w:proofErr w:type="spellEnd"/>
      <w:r w:rsidR="00195D3A" w:rsidRPr="00F87074">
        <w:t xml:space="preserve"> </w:t>
      </w:r>
      <w:proofErr w:type="spellStart"/>
      <w:r w:rsidR="00195D3A" w:rsidRPr="00F87074">
        <w:t>report</w:t>
      </w:r>
      <w:proofErr w:type="spellEnd"/>
      <w:r w:rsidR="00195D3A" w:rsidRPr="00F87074">
        <w:t xml:space="preserve">, lk </w:t>
      </w:r>
      <w:r w:rsidR="00195D3A">
        <w:t>73</w:t>
      </w:r>
    </w:p>
  </w:footnote>
  <w:footnote w:id="54">
    <w:p w14:paraId="4971597E" w14:textId="2B21B9C5" w:rsidR="006207A4" w:rsidRDefault="006207A4" w:rsidP="00323F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23FDE">
        <w:t xml:space="preserve">Haav, M. (2025). Intellektuaalomandi kaitse digiajastul: veebilehtedele ligipääsu blokeerimine piraatluse tõkestamiseks. </w:t>
      </w:r>
      <w:hyperlink r:id="rId4" w:history="1">
        <w:r w:rsidR="000D3BA6" w:rsidRPr="00174662">
          <w:rPr>
            <w:rStyle w:val="Hyperlink"/>
            <w:sz w:val="20"/>
          </w:rPr>
          <w:t>https://dspace.ut.ee/server/api/core/bitstreams/6db27921-76fb-4165-8953-460bd0c1352d/content</w:t>
        </w:r>
      </w:hyperlink>
      <w:r w:rsidR="000D3BA6">
        <w:t>, lk 55</w:t>
      </w:r>
    </w:p>
  </w:footnote>
  <w:footnote w:id="55">
    <w:p w14:paraId="7A862A00" w14:textId="0923C6F3" w:rsidR="00493D43" w:rsidRDefault="00493D43" w:rsidP="00D334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D334B9">
        <w:t>RKHKo</w:t>
      </w:r>
      <w:proofErr w:type="spellEnd"/>
      <w:r w:rsidR="00D334B9">
        <w:t xml:space="preserve"> 3-21-1658, p 36</w:t>
      </w:r>
    </w:p>
  </w:footnote>
  <w:footnote w:id="56">
    <w:p w14:paraId="6C90F32F" w14:textId="64143D30" w:rsidR="002E5989" w:rsidRDefault="002E5989" w:rsidP="002E59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7041D" w:rsidRPr="0057041D">
        <w:t xml:space="preserve">Haav, M. (2025). Intellektuaalomandi kaitse digiajastul: veebilehtedele ligipääsu blokeerimine piraatluse tõkestamiseks. </w:t>
      </w:r>
      <w:hyperlink r:id="rId5" w:history="1">
        <w:r w:rsidR="0057041D" w:rsidRPr="004B4CD4">
          <w:rPr>
            <w:rStyle w:val="Hyperlink"/>
            <w:sz w:val="20"/>
          </w:rPr>
          <w:t>https://dspace.ut.ee/server/api/core/bitstreams/6db27921-76fb-4165-8953-460bd0c1352d/content</w:t>
        </w:r>
      </w:hyperlink>
      <w:r>
        <w:t>, lk 39</w:t>
      </w:r>
    </w:p>
  </w:footnote>
  <w:footnote w:id="57">
    <w:p w14:paraId="06B53D03" w14:textId="05880F69" w:rsidR="001E0095" w:rsidRDefault="001E00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11504">
        <w:t xml:space="preserve">Vt </w:t>
      </w:r>
      <w:r w:rsidR="00380685">
        <w:t xml:space="preserve">AGCOM määruse art 9 lg 3 </w:t>
      </w:r>
      <w:r w:rsidR="00B32127">
        <w:t xml:space="preserve">ja Leedu blokeerimismeetmete määruse § </w:t>
      </w:r>
      <w:r w:rsidR="00BE1BA9">
        <w:t>38</w:t>
      </w:r>
    </w:p>
  </w:footnote>
  <w:footnote w:id="58">
    <w:p w14:paraId="31385C75" w14:textId="4900E17F" w:rsidR="002A0F2F" w:rsidRDefault="002A0F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A0F2F">
        <w:t xml:space="preserve">EUIPO. </w:t>
      </w:r>
      <w:proofErr w:type="spellStart"/>
      <w:r w:rsidRPr="002A0F2F">
        <w:t>Study</w:t>
      </w:r>
      <w:proofErr w:type="spellEnd"/>
      <w:r w:rsidRPr="002A0F2F">
        <w:t xml:space="preserve"> on </w:t>
      </w:r>
      <w:proofErr w:type="spellStart"/>
      <w:r w:rsidRPr="002A0F2F">
        <w:t>dynamic</w:t>
      </w:r>
      <w:proofErr w:type="spellEnd"/>
      <w:r w:rsidRPr="002A0F2F">
        <w:t xml:space="preserve"> </w:t>
      </w:r>
      <w:proofErr w:type="spellStart"/>
      <w:r w:rsidRPr="002A0F2F">
        <w:t>blocking</w:t>
      </w:r>
      <w:proofErr w:type="spellEnd"/>
      <w:r w:rsidRPr="002A0F2F">
        <w:t xml:space="preserve"> </w:t>
      </w:r>
      <w:proofErr w:type="spellStart"/>
      <w:r w:rsidRPr="002A0F2F">
        <w:t>injunctions</w:t>
      </w:r>
      <w:proofErr w:type="spellEnd"/>
      <w:r w:rsidRPr="002A0F2F">
        <w:t xml:space="preserve"> in </w:t>
      </w:r>
      <w:proofErr w:type="spellStart"/>
      <w:r w:rsidRPr="002A0F2F">
        <w:t>the</w:t>
      </w:r>
      <w:proofErr w:type="spellEnd"/>
      <w:r w:rsidRPr="002A0F2F">
        <w:t xml:space="preserve"> </w:t>
      </w:r>
      <w:proofErr w:type="spellStart"/>
      <w:r w:rsidRPr="002A0F2F">
        <w:t>European</w:t>
      </w:r>
      <w:proofErr w:type="spellEnd"/>
      <w:r w:rsidRPr="002A0F2F">
        <w:t xml:space="preserve"> </w:t>
      </w:r>
      <w:proofErr w:type="spellStart"/>
      <w:r w:rsidRPr="002A0F2F">
        <w:t>Union</w:t>
      </w:r>
      <w:proofErr w:type="spellEnd"/>
      <w:r w:rsidRPr="002A0F2F">
        <w:t xml:space="preserve">. IPR </w:t>
      </w:r>
      <w:proofErr w:type="spellStart"/>
      <w:r w:rsidRPr="002A0F2F">
        <w:t>enforcement</w:t>
      </w:r>
      <w:proofErr w:type="spellEnd"/>
      <w:r w:rsidRPr="002A0F2F">
        <w:t xml:space="preserve"> </w:t>
      </w:r>
      <w:proofErr w:type="spellStart"/>
      <w:r w:rsidRPr="002A0F2F">
        <w:t>case-law</w:t>
      </w:r>
      <w:proofErr w:type="spellEnd"/>
      <w:r w:rsidRPr="002A0F2F">
        <w:t xml:space="preserve"> </w:t>
      </w:r>
      <w:proofErr w:type="spellStart"/>
      <w:r w:rsidRPr="002A0F2F">
        <w:t>collection</w:t>
      </w:r>
      <w:proofErr w:type="spellEnd"/>
      <w:r w:rsidRPr="002A0F2F">
        <w:t xml:space="preserve">, lk </w:t>
      </w:r>
      <w:r w:rsidR="00C264F0">
        <w:t>32</w:t>
      </w:r>
      <w:r w:rsidRPr="002A0F2F">
        <w:t>, https://euipo.europa.eu/tunnel-web/secure/webdav/guest/document_library/observatory/documents/reports/2021_Dynamic_Blocking_Injuctions/2021_Study_on_Dynamic_Blocking_Injuctions_in_the_European_Union_FullR_en.pdf</w:t>
      </w:r>
    </w:p>
  </w:footnote>
  <w:footnote w:id="59">
    <w:p w14:paraId="2E3F0116" w14:textId="67114EB9" w:rsidR="00F41402" w:rsidRDefault="00F414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41402">
        <w:t>Frosio</w:t>
      </w:r>
      <w:proofErr w:type="spellEnd"/>
      <w:r w:rsidRPr="00F41402">
        <w:t xml:space="preserve">, G., &amp; </w:t>
      </w:r>
      <w:proofErr w:type="spellStart"/>
      <w:r w:rsidRPr="00F41402">
        <w:t>Bulayenko</w:t>
      </w:r>
      <w:proofErr w:type="spellEnd"/>
      <w:r w:rsidRPr="00F41402">
        <w:t xml:space="preserve">, O. (2021). </w:t>
      </w:r>
      <w:proofErr w:type="spellStart"/>
      <w:r w:rsidRPr="00F41402">
        <w:t>Website</w:t>
      </w:r>
      <w:proofErr w:type="spellEnd"/>
      <w:r w:rsidRPr="00F41402">
        <w:t xml:space="preserve"> </w:t>
      </w:r>
      <w:proofErr w:type="spellStart"/>
      <w:r w:rsidRPr="00F41402">
        <w:t>blocking</w:t>
      </w:r>
      <w:proofErr w:type="spellEnd"/>
      <w:r w:rsidRPr="00F41402">
        <w:t xml:space="preserve"> </w:t>
      </w:r>
      <w:proofErr w:type="spellStart"/>
      <w:r w:rsidRPr="00F41402">
        <w:t>injunctions</w:t>
      </w:r>
      <w:proofErr w:type="spellEnd"/>
      <w:r w:rsidRPr="00F41402">
        <w:t xml:space="preserve"> in </w:t>
      </w:r>
      <w:proofErr w:type="spellStart"/>
      <w:r w:rsidRPr="00F41402">
        <w:t>flux</w:t>
      </w:r>
      <w:proofErr w:type="spellEnd"/>
      <w:r w:rsidRPr="00F41402">
        <w:t xml:space="preserve">: </w:t>
      </w:r>
      <w:proofErr w:type="spellStart"/>
      <w:r w:rsidRPr="00F41402">
        <w:t>static</w:t>
      </w:r>
      <w:proofErr w:type="spellEnd"/>
      <w:r w:rsidRPr="00F41402">
        <w:t xml:space="preserve">, </w:t>
      </w:r>
      <w:proofErr w:type="spellStart"/>
      <w:r w:rsidRPr="00F41402">
        <w:t>dynamic</w:t>
      </w:r>
      <w:proofErr w:type="spellEnd"/>
      <w:r w:rsidRPr="00F41402">
        <w:t xml:space="preserve"> and </w:t>
      </w:r>
      <w:proofErr w:type="spellStart"/>
      <w:r w:rsidRPr="00F41402">
        <w:t>live</w:t>
      </w:r>
      <w:proofErr w:type="spellEnd"/>
      <w:r w:rsidRPr="00F41402">
        <w:t xml:space="preserve">. </w:t>
      </w:r>
      <w:proofErr w:type="spellStart"/>
      <w:r w:rsidRPr="00F41402">
        <w:t>Journal</w:t>
      </w:r>
      <w:proofErr w:type="spellEnd"/>
      <w:r w:rsidRPr="00F41402">
        <w:t xml:space="preserve"> of Intellectual Property Law &amp; </w:t>
      </w:r>
      <w:proofErr w:type="spellStart"/>
      <w:r w:rsidRPr="00F41402">
        <w:t>Practice</w:t>
      </w:r>
      <w:proofErr w:type="spellEnd"/>
      <w:r w:rsidRPr="00F41402">
        <w:t>, 16(10), 1127–1143. https://doi.org/10.1093/jiplp/jpab107, lk</w:t>
      </w:r>
      <w:r w:rsidR="008535F2">
        <w:t xml:space="preserve"> 11</w:t>
      </w:r>
      <w:r w:rsidR="0091181D">
        <w:t>–12</w:t>
      </w:r>
    </w:p>
  </w:footnote>
  <w:footnote w:id="60">
    <w:p w14:paraId="7A4E15C6" w14:textId="4C6B70D6" w:rsidR="008735D5" w:rsidRDefault="008735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73BFE" w:rsidRPr="00273BFE">
        <w:t>Haav, M. Intellektuaalomandi kaitse digiajastul: veebilehtedele ligipääsu blokeerimine piraatluse tõkestamiseks</w:t>
      </w:r>
      <w:r w:rsidR="00273BFE">
        <w:t>, lk 44</w:t>
      </w:r>
    </w:p>
  </w:footnote>
  <w:footnote w:id="61">
    <w:p w14:paraId="4F90769A" w14:textId="5BCC646F" w:rsidR="00C92E9F" w:rsidRDefault="00C92E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B47902" w:rsidRPr="00B47902">
        <w:t>Frosio</w:t>
      </w:r>
      <w:proofErr w:type="spellEnd"/>
      <w:r w:rsidR="00B47902" w:rsidRPr="00B47902">
        <w:t xml:space="preserve">, G., &amp; </w:t>
      </w:r>
      <w:proofErr w:type="spellStart"/>
      <w:r w:rsidR="00B47902" w:rsidRPr="00B47902">
        <w:t>Bulayenko</w:t>
      </w:r>
      <w:proofErr w:type="spellEnd"/>
      <w:r w:rsidR="00B47902" w:rsidRPr="00B47902">
        <w:t xml:space="preserve">, O. (2021). </w:t>
      </w:r>
      <w:proofErr w:type="spellStart"/>
      <w:r w:rsidR="00B47902" w:rsidRPr="00B47902">
        <w:t>Website</w:t>
      </w:r>
      <w:proofErr w:type="spellEnd"/>
      <w:r w:rsidR="00B47902" w:rsidRPr="00B47902">
        <w:t xml:space="preserve"> </w:t>
      </w:r>
      <w:proofErr w:type="spellStart"/>
      <w:r w:rsidR="00B47902" w:rsidRPr="00B47902">
        <w:t>blocking</w:t>
      </w:r>
      <w:proofErr w:type="spellEnd"/>
      <w:r w:rsidR="00B47902" w:rsidRPr="00B47902">
        <w:t xml:space="preserve"> </w:t>
      </w:r>
      <w:proofErr w:type="spellStart"/>
      <w:r w:rsidR="00B47902" w:rsidRPr="00B47902">
        <w:t>injunctions</w:t>
      </w:r>
      <w:proofErr w:type="spellEnd"/>
      <w:r w:rsidR="00B47902" w:rsidRPr="00B47902">
        <w:t xml:space="preserve"> in </w:t>
      </w:r>
      <w:proofErr w:type="spellStart"/>
      <w:r w:rsidR="00B47902" w:rsidRPr="00B47902">
        <w:t>flux</w:t>
      </w:r>
      <w:proofErr w:type="spellEnd"/>
      <w:r w:rsidR="00B47902" w:rsidRPr="00B47902">
        <w:t xml:space="preserve">: </w:t>
      </w:r>
      <w:proofErr w:type="spellStart"/>
      <w:r w:rsidR="00B47902" w:rsidRPr="00B47902">
        <w:t>static</w:t>
      </w:r>
      <w:proofErr w:type="spellEnd"/>
      <w:r w:rsidR="00B47902" w:rsidRPr="00B47902">
        <w:t xml:space="preserve">, </w:t>
      </w:r>
      <w:proofErr w:type="spellStart"/>
      <w:r w:rsidR="00B47902" w:rsidRPr="00B47902">
        <w:t>dynamic</w:t>
      </w:r>
      <w:proofErr w:type="spellEnd"/>
      <w:r w:rsidR="00B47902" w:rsidRPr="00B47902">
        <w:t xml:space="preserve"> and </w:t>
      </w:r>
      <w:proofErr w:type="spellStart"/>
      <w:r w:rsidR="00B47902" w:rsidRPr="00B47902">
        <w:t>live</w:t>
      </w:r>
      <w:proofErr w:type="spellEnd"/>
      <w:r w:rsidR="00B47902" w:rsidRPr="00B47902">
        <w:t xml:space="preserve">. </w:t>
      </w:r>
      <w:proofErr w:type="spellStart"/>
      <w:r w:rsidR="00B47902" w:rsidRPr="00B47902">
        <w:t>Journal</w:t>
      </w:r>
      <w:proofErr w:type="spellEnd"/>
      <w:r w:rsidR="00B47902" w:rsidRPr="00B47902">
        <w:t xml:space="preserve"> of Intellectual Property Law &amp; </w:t>
      </w:r>
      <w:proofErr w:type="spellStart"/>
      <w:r w:rsidR="00B47902" w:rsidRPr="00B47902">
        <w:t>Practice</w:t>
      </w:r>
      <w:proofErr w:type="spellEnd"/>
      <w:r w:rsidR="00B47902" w:rsidRPr="00B47902">
        <w:t>, 16(10), 1127–1143. https://doi.org/10.1093/jiplp/jpab107, lk 11</w:t>
      </w:r>
    </w:p>
  </w:footnote>
  <w:footnote w:id="62">
    <w:p w14:paraId="4BB32450" w14:textId="208E84E5" w:rsidR="00B40716" w:rsidRDefault="00B4071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40716">
        <w:t>Leedu blokeerimismeetmete määruse</w:t>
      </w:r>
      <w:r w:rsidR="009467DD">
        <w:t xml:space="preserve"> § 10</w:t>
      </w:r>
    </w:p>
  </w:footnote>
  <w:footnote w:id="63">
    <w:p w14:paraId="243169B3" w14:textId="0A1D0D90" w:rsidR="006E1881" w:rsidRDefault="006E1881">
      <w:pPr>
        <w:pStyle w:val="FootnoteText"/>
      </w:pPr>
      <w:r>
        <w:rPr>
          <w:rStyle w:val="FootnoteReference"/>
        </w:rPr>
        <w:footnoteRef/>
      </w:r>
      <w:r>
        <w:t xml:space="preserve"> Samas, § 12</w:t>
      </w:r>
    </w:p>
  </w:footnote>
  <w:footnote w:id="64">
    <w:p w14:paraId="73746FB5" w14:textId="4F377CAC" w:rsidR="004D1E15" w:rsidRDefault="004D1E1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D1E15">
        <w:t>https://ris.utwente.nl/ws/portalfiles/portal/504589587/piracyshield.pdf</w:t>
      </w:r>
    </w:p>
  </w:footnote>
  <w:footnote w:id="65">
    <w:p w14:paraId="02A9AADB" w14:textId="746D196C" w:rsidR="0005514C" w:rsidRDefault="000551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9A05D5" w:rsidRPr="009A05D5">
        <w:t>https://legalblogs.wolterskluwer.com/copyright-blog/fighting-online-piracy-in-2025-expanding-copyright-enforcement-to-new-intermediaries/</w:t>
      </w:r>
    </w:p>
  </w:footnote>
  <w:footnote w:id="66">
    <w:p w14:paraId="6F14E50A" w14:textId="06F457B3" w:rsidR="00EA6CDC" w:rsidRDefault="00EA6CD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A6CDC">
        <w:t xml:space="preserve">Pekka S. </w:t>
      </w:r>
      <w:proofErr w:type="spellStart"/>
      <w:r w:rsidRPr="00EA6CDC">
        <w:t>Proportionality</w:t>
      </w:r>
      <w:proofErr w:type="spellEnd"/>
      <w:r w:rsidRPr="00EA6CDC">
        <w:t xml:space="preserve"> of </w:t>
      </w:r>
      <w:proofErr w:type="spellStart"/>
      <w:r w:rsidRPr="00EA6CDC">
        <w:t>Website</w:t>
      </w:r>
      <w:proofErr w:type="spellEnd"/>
      <w:r w:rsidRPr="00EA6CDC">
        <w:t xml:space="preserve"> </w:t>
      </w:r>
      <w:proofErr w:type="spellStart"/>
      <w:r w:rsidRPr="00EA6CDC">
        <w:t>Blocking</w:t>
      </w:r>
      <w:proofErr w:type="spellEnd"/>
      <w:r w:rsidRPr="00EA6CDC">
        <w:t xml:space="preserve">: Internet </w:t>
      </w:r>
      <w:proofErr w:type="spellStart"/>
      <w:r w:rsidRPr="00EA6CDC">
        <w:t>Connectivity</w:t>
      </w:r>
      <w:proofErr w:type="spellEnd"/>
      <w:r w:rsidRPr="00EA6CDC">
        <w:t xml:space="preserve"> </w:t>
      </w:r>
      <w:proofErr w:type="spellStart"/>
      <w:r w:rsidRPr="00EA6CDC">
        <w:t>Providers</w:t>
      </w:r>
      <w:proofErr w:type="spellEnd"/>
      <w:r w:rsidRPr="00EA6CDC">
        <w:t xml:space="preserve"> as Copyright </w:t>
      </w:r>
      <w:proofErr w:type="spellStart"/>
      <w:r w:rsidRPr="00EA6CDC">
        <w:t>Enforcers</w:t>
      </w:r>
      <w:proofErr w:type="spellEnd"/>
      <w:r w:rsidRPr="00EA6CDC">
        <w:t xml:space="preserve">, 5 (2014) JIPITEC 116, </w:t>
      </w:r>
      <w:proofErr w:type="spellStart"/>
      <w:r w:rsidRPr="00EA6CDC">
        <w:t>para</w:t>
      </w:r>
      <w:proofErr w:type="spellEnd"/>
      <w:r w:rsidRPr="00EA6CDC">
        <w:t>. 1. https://papers.ssrn.com/sol3/papers.cfm?abstract_id=2432259, lk 1</w:t>
      </w:r>
      <w:r>
        <w:t>79</w:t>
      </w:r>
    </w:p>
  </w:footnote>
  <w:footnote w:id="67">
    <w:p w14:paraId="704104D1" w14:textId="2AD9635D" w:rsidR="00FB5D20" w:rsidRDefault="00FB5D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B5D20">
        <w:t xml:space="preserve">EUIPO. </w:t>
      </w:r>
      <w:proofErr w:type="spellStart"/>
      <w:r w:rsidRPr="00FB5D20">
        <w:t>Study</w:t>
      </w:r>
      <w:proofErr w:type="spellEnd"/>
      <w:r w:rsidRPr="00FB5D20">
        <w:t xml:space="preserve"> on </w:t>
      </w:r>
      <w:proofErr w:type="spellStart"/>
      <w:r w:rsidRPr="00FB5D20">
        <w:t>dynamic</w:t>
      </w:r>
      <w:proofErr w:type="spellEnd"/>
      <w:r w:rsidRPr="00FB5D20">
        <w:t xml:space="preserve"> </w:t>
      </w:r>
      <w:proofErr w:type="spellStart"/>
      <w:r w:rsidRPr="00FB5D20">
        <w:t>blocking</w:t>
      </w:r>
      <w:proofErr w:type="spellEnd"/>
      <w:r w:rsidRPr="00FB5D20">
        <w:t xml:space="preserve"> </w:t>
      </w:r>
      <w:proofErr w:type="spellStart"/>
      <w:r w:rsidRPr="00FB5D20">
        <w:t>injunctions</w:t>
      </w:r>
      <w:proofErr w:type="spellEnd"/>
      <w:r w:rsidRPr="00FB5D20">
        <w:t xml:space="preserve"> in </w:t>
      </w:r>
      <w:proofErr w:type="spellStart"/>
      <w:r w:rsidRPr="00FB5D20">
        <w:t>the</w:t>
      </w:r>
      <w:proofErr w:type="spellEnd"/>
      <w:r w:rsidRPr="00FB5D20">
        <w:t xml:space="preserve"> </w:t>
      </w:r>
      <w:proofErr w:type="spellStart"/>
      <w:r w:rsidRPr="00FB5D20">
        <w:t>European</w:t>
      </w:r>
      <w:proofErr w:type="spellEnd"/>
      <w:r w:rsidRPr="00FB5D20">
        <w:t xml:space="preserve"> </w:t>
      </w:r>
      <w:proofErr w:type="spellStart"/>
      <w:r w:rsidRPr="00FB5D20">
        <w:t>Union</w:t>
      </w:r>
      <w:proofErr w:type="spellEnd"/>
      <w:r w:rsidRPr="00FB5D20">
        <w:t xml:space="preserve">. IPR </w:t>
      </w:r>
      <w:proofErr w:type="spellStart"/>
      <w:r w:rsidRPr="00FB5D20">
        <w:t>enforcement</w:t>
      </w:r>
      <w:proofErr w:type="spellEnd"/>
      <w:r w:rsidRPr="00FB5D20">
        <w:t xml:space="preserve"> </w:t>
      </w:r>
      <w:proofErr w:type="spellStart"/>
      <w:r w:rsidRPr="00FB5D20">
        <w:t>case-law</w:t>
      </w:r>
      <w:proofErr w:type="spellEnd"/>
      <w:r w:rsidRPr="00FB5D20">
        <w:t xml:space="preserve"> </w:t>
      </w:r>
      <w:proofErr w:type="spellStart"/>
      <w:r w:rsidRPr="00FB5D20">
        <w:t>collection</w:t>
      </w:r>
      <w:proofErr w:type="spellEnd"/>
      <w:r w:rsidRPr="00FB5D20">
        <w:t xml:space="preserve">, lk </w:t>
      </w:r>
      <w:r>
        <w:t>49</w:t>
      </w:r>
    </w:p>
  </w:footnote>
  <w:footnote w:id="68">
    <w:p w14:paraId="737FAE7D" w14:textId="77777777" w:rsidR="00201A82" w:rsidRDefault="00201A82" w:rsidP="00201A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Vt nt Taanis toimiv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Care lahendus, </w:t>
      </w:r>
      <w:r w:rsidRPr="00560FD2">
        <w:t>https://sharewithcare.dk/</w:t>
      </w:r>
    </w:p>
  </w:footnote>
  <w:footnote w:id="69">
    <w:p w14:paraId="48EA1AA8" w14:textId="29CBA63B" w:rsidR="000B49DD" w:rsidRDefault="000B49D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B49DD">
        <w:t>Wang</w:t>
      </w:r>
      <w:proofErr w:type="spellEnd"/>
      <w:r>
        <w:t xml:space="preserve">, </w:t>
      </w:r>
      <w:r w:rsidRPr="000B49DD">
        <w:t>F</w:t>
      </w:r>
      <w:r>
        <w:t>.</w:t>
      </w:r>
      <w:r w:rsidRPr="000B49DD">
        <w:t xml:space="preserve"> F</w:t>
      </w:r>
      <w:r>
        <w:t xml:space="preserve">. (2014). </w:t>
      </w:r>
      <w:proofErr w:type="spellStart"/>
      <w:r w:rsidR="00B6137D" w:rsidRPr="00B6137D">
        <w:t>Site-blocking</w:t>
      </w:r>
      <w:proofErr w:type="spellEnd"/>
      <w:r w:rsidR="00B6137D" w:rsidRPr="00B6137D">
        <w:t xml:space="preserve"> </w:t>
      </w:r>
      <w:proofErr w:type="spellStart"/>
      <w:r w:rsidR="00B6137D" w:rsidRPr="00B6137D">
        <w:t>Orders</w:t>
      </w:r>
      <w:proofErr w:type="spellEnd"/>
      <w:r w:rsidR="00B6137D" w:rsidRPr="00B6137D">
        <w:t xml:space="preserve"> in </w:t>
      </w:r>
      <w:proofErr w:type="spellStart"/>
      <w:r w:rsidR="00B6137D" w:rsidRPr="00B6137D">
        <w:t>the</w:t>
      </w:r>
      <w:proofErr w:type="spellEnd"/>
      <w:r w:rsidR="00B6137D" w:rsidRPr="00B6137D">
        <w:t xml:space="preserve"> EU: </w:t>
      </w:r>
      <w:proofErr w:type="spellStart"/>
      <w:r w:rsidR="00B6137D" w:rsidRPr="00B6137D">
        <w:t>Justifications</w:t>
      </w:r>
      <w:proofErr w:type="spellEnd"/>
      <w:r w:rsidR="00B6137D" w:rsidRPr="00B6137D">
        <w:t xml:space="preserve"> and </w:t>
      </w:r>
      <w:proofErr w:type="spellStart"/>
      <w:r w:rsidR="00B6137D" w:rsidRPr="00B6137D">
        <w:t>Feasibility</w:t>
      </w:r>
      <w:proofErr w:type="spellEnd"/>
      <w:r w:rsidR="00B6137D">
        <w:t xml:space="preserve"> </w:t>
      </w:r>
      <w:r w:rsidR="00B56BE8">
        <w:t>(</w:t>
      </w:r>
      <w:r w:rsidR="00A35C54">
        <w:t>a</w:t>
      </w:r>
      <w:r w:rsidR="00B56BE8">
        <w:t xml:space="preserve">valdamata). </w:t>
      </w:r>
      <w:hyperlink r:id="rId6" w:history="1">
        <w:r w:rsidR="00B56BE8" w:rsidRPr="00103C10">
          <w:rPr>
            <w:rStyle w:val="Hyperlink"/>
            <w:sz w:val="20"/>
          </w:rPr>
          <w:t>https://www.law.berkeley.edu/files/Wang_Faye_Fangfei_IPSC_paper_2014.pdf</w:t>
        </w:r>
      </w:hyperlink>
      <w:r w:rsidR="00B56BE8">
        <w:t>, lk 8</w:t>
      </w:r>
    </w:p>
  </w:footnote>
  <w:footnote w:id="70">
    <w:p w14:paraId="0BBCC200" w14:textId="33D82AD6" w:rsidR="00E271F1" w:rsidRDefault="00E271F1" w:rsidP="00AA5C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A5C9C">
        <w:t xml:space="preserve">EUIPO. </w:t>
      </w:r>
      <w:proofErr w:type="spellStart"/>
      <w:r w:rsidR="00AF4E85">
        <w:t>Study</w:t>
      </w:r>
      <w:proofErr w:type="spellEnd"/>
      <w:r w:rsidR="00AF4E85">
        <w:t xml:space="preserve"> on </w:t>
      </w:r>
      <w:proofErr w:type="spellStart"/>
      <w:r w:rsidR="00AF4E85">
        <w:t>dynamic</w:t>
      </w:r>
      <w:proofErr w:type="spellEnd"/>
      <w:r w:rsidR="00AF4E85">
        <w:t xml:space="preserve"> </w:t>
      </w:r>
      <w:proofErr w:type="spellStart"/>
      <w:r w:rsidR="00AF4E85">
        <w:t>blocking</w:t>
      </w:r>
      <w:proofErr w:type="spellEnd"/>
      <w:r w:rsidR="00AF4E85">
        <w:t xml:space="preserve"> </w:t>
      </w:r>
      <w:proofErr w:type="spellStart"/>
      <w:r w:rsidR="00AF4E85">
        <w:t>injunctions</w:t>
      </w:r>
      <w:proofErr w:type="spellEnd"/>
      <w:r w:rsidR="00AA5C9C">
        <w:t xml:space="preserve"> </w:t>
      </w:r>
      <w:r w:rsidR="00AF4E85">
        <w:t xml:space="preserve">in </w:t>
      </w:r>
      <w:proofErr w:type="spellStart"/>
      <w:r w:rsidR="00AF4E85">
        <w:t>the</w:t>
      </w:r>
      <w:proofErr w:type="spellEnd"/>
      <w:r w:rsidR="00AF4E85">
        <w:t xml:space="preserve"> </w:t>
      </w:r>
      <w:proofErr w:type="spellStart"/>
      <w:r w:rsidR="00AF4E85">
        <w:t>European</w:t>
      </w:r>
      <w:proofErr w:type="spellEnd"/>
      <w:r w:rsidR="00AF4E85">
        <w:t xml:space="preserve"> </w:t>
      </w:r>
      <w:proofErr w:type="spellStart"/>
      <w:r w:rsidR="00AF4E85">
        <w:t>Union</w:t>
      </w:r>
      <w:proofErr w:type="spellEnd"/>
      <w:r w:rsidR="00AF4E85">
        <w:t>. IPR</w:t>
      </w:r>
      <w:r w:rsidR="00AF4E85" w:rsidRPr="00AF4E85">
        <w:t xml:space="preserve"> </w:t>
      </w:r>
      <w:proofErr w:type="spellStart"/>
      <w:r w:rsidR="00AF4E85" w:rsidRPr="00AF4E85">
        <w:t>enforcement</w:t>
      </w:r>
      <w:proofErr w:type="spellEnd"/>
      <w:r w:rsidR="00AF4E85" w:rsidRPr="00AF4E85">
        <w:t xml:space="preserve"> </w:t>
      </w:r>
      <w:proofErr w:type="spellStart"/>
      <w:r w:rsidR="00AF4E85" w:rsidRPr="00AF4E85">
        <w:t>case-law</w:t>
      </w:r>
      <w:proofErr w:type="spellEnd"/>
      <w:r w:rsidR="00AF4E85" w:rsidRPr="00AF4E85">
        <w:t xml:space="preserve"> </w:t>
      </w:r>
      <w:proofErr w:type="spellStart"/>
      <w:r w:rsidR="00AF4E85" w:rsidRPr="00AF4E85">
        <w:t>collection</w:t>
      </w:r>
      <w:proofErr w:type="spellEnd"/>
      <w:r w:rsidR="00D86D73">
        <w:t xml:space="preserve">, lk </w:t>
      </w:r>
      <w:r w:rsidR="006A6E79">
        <w:t>45</w:t>
      </w:r>
      <w:r w:rsidR="00BB1B5E">
        <w:t>,</w:t>
      </w:r>
      <w:r w:rsidR="00AF4E85">
        <w:t xml:space="preserve"> </w:t>
      </w:r>
      <w:r w:rsidR="00676B62" w:rsidRPr="00676B62">
        <w:t>https://euipo.europa.eu/tunnel-web/secure/webdav/guest/document_library/observatory/documents/reports/2021_Dynamic_Blocking_Injuctions/2021_Study_on_Dynamic_Blocking_Injuctions_in_the_European_Union_FullR_en.pdf</w:t>
      </w:r>
    </w:p>
  </w:footnote>
  <w:footnote w:id="71">
    <w:p w14:paraId="2443659A" w14:textId="618AE488" w:rsidR="00345A23" w:rsidRDefault="00345A23">
      <w:pPr>
        <w:pStyle w:val="FootnoteText"/>
      </w:pPr>
      <w:r>
        <w:rPr>
          <w:rStyle w:val="FootnoteReference"/>
        </w:rPr>
        <w:footnoteRef/>
      </w:r>
      <w:r>
        <w:t xml:space="preserve"> Samas, lk </w:t>
      </w:r>
      <w:r w:rsidR="00FB5A37">
        <w:t>53</w:t>
      </w:r>
    </w:p>
  </w:footnote>
  <w:footnote w:id="72">
    <w:p w14:paraId="144BDBBF" w14:textId="3D517D1D" w:rsidR="00BB1B5E" w:rsidRDefault="00BB1B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1B5E">
        <w:t xml:space="preserve">EUIPO. </w:t>
      </w:r>
      <w:proofErr w:type="spellStart"/>
      <w:r w:rsidRPr="00BB1B5E">
        <w:t>Study</w:t>
      </w:r>
      <w:proofErr w:type="spellEnd"/>
      <w:r w:rsidRPr="00BB1B5E">
        <w:t xml:space="preserve"> on </w:t>
      </w:r>
      <w:proofErr w:type="spellStart"/>
      <w:r w:rsidRPr="00BB1B5E">
        <w:t>dynamic</w:t>
      </w:r>
      <w:proofErr w:type="spellEnd"/>
      <w:r w:rsidRPr="00BB1B5E">
        <w:t xml:space="preserve"> </w:t>
      </w:r>
      <w:proofErr w:type="spellStart"/>
      <w:r w:rsidRPr="00BB1B5E">
        <w:t>blocking</w:t>
      </w:r>
      <w:proofErr w:type="spellEnd"/>
      <w:r w:rsidRPr="00BB1B5E">
        <w:t xml:space="preserve"> </w:t>
      </w:r>
      <w:proofErr w:type="spellStart"/>
      <w:r w:rsidRPr="00BB1B5E">
        <w:t>injunctions</w:t>
      </w:r>
      <w:proofErr w:type="spellEnd"/>
      <w:r w:rsidRPr="00BB1B5E">
        <w:t xml:space="preserve"> in </w:t>
      </w:r>
      <w:proofErr w:type="spellStart"/>
      <w:r w:rsidRPr="00BB1B5E">
        <w:t>the</w:t>
      </w:r>
      <w:proofErr w:type="spellEnd"/>
      <w:r w:rsidRPr="00BB1B5E">
        <w:t xml:space="preserve"> </w:t>
      </w:r>
      <w:proofErr w:type="spellStart"/>
      <w:r w:rsidRPr="00BB1B5E">
        <w:t>European</w:t>
      </w:r>
      <w:proofErr w:type="spellEnd"/>
      <w:r w:rsidRPr="00BB1B5E">
        <w:t xml:space="preserve"> </w:t>
      </w:r>
      <w:proofErr w:type="spellStart"/>
      <w:r w:rsidRPr="00BB1B5E">
        <w:t>Union</w:t>
      </w:r>
      <w:proofErr w:type="spellEnd"/>
      <w:r w:rsidRPr="00BB1B5E">
        <w:t xml:space="preserve">. IPR </w:t>
      </w:r>
      <w:proofErr w:type="spellStart"/>
      <w:r w:rsidRPr="00BB1B5E">
        <w:t>enforcement</w:t>
      </w:r>
      <w:proofErr w:type="spellEnd"/>
      <w:r w:rsidRPr="00BB1B5E">
        <w:t xml:space="preserve"> </w:t>
      </w:r>
      <w:proofErr w:type="spellStart"/>
      <w:r w:rsidRPr="00BB1B5E">
        <w:t>case-law</w:t>
      </w:r>
      <w:proofErr w:type="spellEnd"/>
      <w:r w:rsidRPr="00BB1B5E">
        <w:t xml:space="preserve"> </w:t>
      </w:r>
      <w:proofErr w:type="spellStart"/>
      <w:r w:rsidRPr="00BB1B5E">
        <w:t>collection</w:t>
      </w:r>
      <w:proofErr w:type="spellEnd"/>
      <w:r w:rsidRPr="00BB1B5E">
        <w:t xml:space="preserve">, lk </w:t>
      </w:r>
      <w:r w:rsidR="008F4D3A">
        <w:t>50</w:t>
      </w:r>
    </w:p>
  </w:footnote>
  <w:footnote w:id="73">
    <w:p w14:paraId="72DF4960" w14:textId="57BA10F9" w:rsidR="00696F2B" w:rsidRDefault="00696F2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86568B" w:rsidRPr="0086568B">
        <w:t>Frosio</w:t>
      </w:r>
      <w:proofErr w:type="spellEnd"/>
      <w:r w:rsidR="0086568B" w:rsidRPr="0086568B">
        <w:t xml:space="preserve">, G., &amp; </w:t>
      </w:r>
      <w:proofErr w:type="spellStart"/>
      <w:r w:rsidR="0086568B" w:rsidRPr="0086568B">
        <w:t>Bulayenko</w:t>
      </w:r>
      <w:proofErr w:type="spellEnd"/>
      <w:r w:rsidR="0086568B" w:rsidRPr="0086568B">
        <w:t xml:space="preserve">, O. (2021). </w:t>
      </w:r>
      <w:proofErr w:type="spellStart"/>
      <w:r w:rsidR="0086568B" w:rsidRPr="0086568B">
        <w:t>Website</w:t>
      </w:r>
      <w:proofErr w:type="spellEnd"/>
      <w:r w:rsidR="0086568B" w:rsidRPr="0086568B">
        <w:t xml:space="preserve"> </w:t>
      </w:r>
      <w:proofErr w:type="spellStart"/>
      <w:r w:rsidR="0086568B" w:rsidRPr="0086568B">
        <w:t>blocking</w:t>
      </w:r>
      <w:proofErr w:type="spellEnd"/>
      <w:r w:rsidR="0086568B" w:rsidRPr="0086568B">
        <w:t xml:space="preserve"> </w:t>
      </w:r>
      <w:proofErr w:type="spellStart"/>
      <w:r w:rsidR="0086568B" w:rsidRPr="0086568B">
        <w:t>injunctions</w:t>
      </w:r>
      <w:proofErr w:type="spellEnd"/>
      <w:r w:rsidR="0086568B" w:rsidRPr="0086568B">
        <w:t xml:space="preserve"> in </w:t>
      </w:r>
      <w:proofErr w:type="spellStart"/>
      <w:r w:rsidR="0086568B" w:rsidRPr="0086568B">
        <w:t>flux</w:t>
      </w:r>
      <w:proofErr w:type="spellEnd"/>
      <w:r w:rsidR="0086568B" w:rsidRPr="0086568B">
        <w:t xml:space="preserve">: </w:t>
      </w:r>
      <w:proofErr w:type="spellStart"/>
      <w:r w:rsidR="0086568B" w:rsidRPr="0086568B">
        <w:t>static</w:t>
      </w:r>
      <w:proofErr w:type="spellEnd"/>
      <w:r w:rsidR="0086568B" w:rsidRPr="0086568B">
        <w:t xml:space="preserve">, </w:t>
      </w:r>
      <w:proofErr w:type="spellStart"/>
      <w:r w:rsidR="0086568B" w:rsidRPr="0086568B">
        <w:t>dynamic</w:t>
      </w:r>
      <w:proofErr w:type="spellEnd"/>
      <w:r w:rsidR="0086568B" w:rsidRPr="0086568B">
        <w:t xml:space="preserve"> and </w:t>
      </w:r>
      <w:proofErr w:type="spellStart"/>
      <w:r w:rsidR="0086568B" w:rsidRPr="0086568B">
        <w:t>live</w:t>
      </w:r>
      <w:proofErr w:type="spellEnd"/>
      <w:r w:rsidR="0086568B" w:rsidRPr="0086568B">
        <w:t xml:space="preserve">. </w:t>
      </w:r>
      <w:proofErr w:type="spellStart"/>
      <w:r w:rsidR="0086568B" w:rsidRPr="0086568B">
        <w:t>Journal</w:t>
      </w:r>
      <w:proofErr w:type="spellEnd"/>
      <w:r w:rsidR="0086568B" w:rsidRPr="0086568B">
        <w:t xml:space="preserve"> of Intellectual Property Law &amp; </w:t>
      </w:r>
      <w:proofErr w:type="spellStart"/>
      <w:r w:rsidR="0086568B" w:rsidRPr="0086568B">
        <w:t>Practice</w:t>
      </w:r>
      <w:proofErr w:type="spellEnd"/>
      <w:r w:rsidR="0086568B" w:rsidRPr="0086568B">
        <w:t xml:space="preserve">, 16(10), 1127–1143. https://doi.org/10.1093/jiplp/jpab107, lk </w:t>
      </w:r>
      <w:r w:rsidR="0086568B">
        <w:t>19</w:t>
      </w:r>
    </w:p>
  </w:footnote>
  <w:footnote w:id="74">
    <w:p w14:paraId="2BE39FD8" w14:textId="096155EF" w:rsidR="006D41E8" w:rsidRDefault="006D41E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9427A">
        <w:t xml:space="preserve">Vt Prantsuse kohtu seisukohta </w:t>
      </w:r>
      <w:proofErr w:type="spellStart"/>
      <w:r w:rsidR="0069427A" w:rsidRPr="0069427A">
        <w:rPr>
          <w:i/>
          <w:iCs/>
        </w:rPr>
        <w:t>Allostreaming</w:t>
      </w:r>
      <w:proofErr w:type="spellEnd"/>
      <w:r w:rsidR="0069427A" w:rsidRPr="0069427A">
        <w:t xml:space="preserve"> </w:t>
      </w:r>
      <w:r w:rsidR="0069427A">
        <w:t>kaasuses s</w:t>
      </w:r>
      <w:r>
        <w:t>amas, lk 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32706" w14:textId="44228168" w:rsidR="00201E4B" w:rsidRDefault="00201E4B" w:rsidP="00CE1C0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ED6"/>
    <w:multiLevelType w:val="multilevel"/>
    <w:tmpl w:val="159AF7C0"/>
    <w:lvl w:ilvl="0">
      <w:start w:val="1"/>
      <w:numFmt w:val="decimal"/>
      <w:pStyle w:val="Ksimus"/>
      <w:lvlText w:val="Küsimus %1: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91478"/>
    <w:multiLevelType w:val="multilevel"/>
    <w:tmpl w:val="25081CB0"/>
    <w:lvl w:ilvl="0">
      <w:start w:val="1"/>
      <w:numFmt w:val="decimal"/>
      <w:pStyle w:val="Listtasand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/>
        <w:bCs w:val="0"/>
        <w:i w:val="0"/>
        <w:sz w:val="22"/>
      </w:rPr>
    </w:lvl>
    <w:lvl w:ilvl="1">
      <w:start w:val="1"/>
      <w:numFmt w:val="decimal"/>
      <w:pStyle w:val="Listtasand2"/>
      <w:lvlText w:val="%1.%2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tasand3"/>
      <w:lvlText w:val="%1.%2.%3."/>
      <w:lvlJc w:val="left"/>
      <w:pPr>
        <w:tabs>
          <w:tab w:val="num" w:pos="2127"/>
        </w:tabs>
        <w:ind w:left="2127" w:hanging="709"/>
      </w:pPr>
      <w:rPr>
        <w:rFonts w:hint="default"/>
      </w:rPr>
    </w:lvl>
    <w:lvl w:ilvl="3">
      <w:start w:val="1"/>
      <w:numFmt w:val="decimal"/>
      <w:pStyle w:val="Listtasand4"/>
      <w:lvlText w:val="%1.%2.%3.%4."/>
      <w:lvlJc w:val="left"/>
      <w:pPr>
        <w:tabs>
          <w:tab w:val="num" w:pos="2836"/>
        </w:tabs>
        <w:ind w:left="2836" w:hanging="709"/>
      </w:pPr>
      <w:rPr>
        <w:rFonts w:hint="default"/>
      </w:rPr>
    </w:lvl>
    <w:lvl w:ilvl="4">
      <w:start w:val="1"/>
      <w:numFmt w:val="decimal"/>
      <w:pStyle w:val="Listtasand5"/>
      <w:lvlText w:val="%1.%2.%3.%4.%5."/>
      <w:lvlJc w:val="left"/>
      <w:pPr>
        <w:tabs>
          <w:tab w:val="num" w:pos="3545"/>
        </w:tabs>
        <w:ind w:left="3545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54"/>
        </w:tabs>
        <w:ind w:left="4254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3"/>
        </w:tabs>
        <w:ind w:left="4963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2"/>
        </w:tabs>
        <w:ind w:left="5672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1"/>
        </w:tabs>
        <w:ind w:left="6381" w:hanging="709"/>
      </w:pPr>
      <w:rPr>
        <w:rFonts w:hint="default"/>
      </w:rPr>
    </w:lvl>
  </w:abstractNum>
  <w:abstractNum w:abstractNumId="2" w15:restartNumberingAfterBreak="0">
    <w:nsid w:val="70314929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2920239">
    <w:abstractNumId w:val="1"/>
  </w:num>
  <w:num w:numId="2" w16cid:durableId="2038922639">
    <w:abstractNumId w:val="2"/>
  </w:num>
  <w:num w:numId="3" w16cid:durableId="39964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474F4"/>
    <w:rsid w:val="000003FF"/>
    <w:rsid w:val="0000090A"/>
    <w:rsid w:val="000010FE"/>
    <w:rsid w:val="000013EF"/>
    <w:rsid w:val="000015BF"/>
    <w:rsid w:val="0000362C"/>
    <w:rsid w:val="00003956"/>
    <w:rsid w:val="00003F92"/>
    <w:rsid w:val="000049B1"/>
    <w:rsid w:val="00006216"/>
    <w:rsid w:val="00006999"/>
    <w:rsid w:val="000103F4"/>
    <w:rsid w:val="00010B46"/>
    <w:rsid w:val="00010D0F"/>
    <w:rsid w:val="00010D54"/>
    <w:rsid w:val="00010F60"/>
    <w:rsid w:val="000129AC"/>
    <w:rsid w:val="00013111"/>
    <w:rsid w:val="00014FED"/>
    <w:rsid w:val="000151B6"/>
    <w:rsid w:val="0001533B"/>
    <w:rsid w:val="0001537A"/>
    <w:rsid w:val="000168C0"/>
    <w:rsid w:val="00016ECA"/>
    <w:rsid w:val="00017053"/>
    <w:rsid w:val="00020430"/>
    <w:rsid w:val="0002124C"/>
    <w:rsid w:val="00021897"/>
    <w:rsid w:val="00021B4C"/>
    <w:rsid w:val="000228F8"/>
    <w:rsid w:val="00022975"/>
    <w:rsid w:val="000236F1"/>
    <w:rsid w:val="000238EB"/>
    <w:rsid w:val="00024337"/>
    <w:rsid w:val="00024D03"/>
    <w:rsid w:val="00025647"/>
    <w:rsid w:val="00025778"/>
    <w:rsid w:val="00025937"/>
    <w:rsid w:val="0002741A"/>
    <w:rsid w:val="00027523"/>
    <w:rsid w:val="000278E7"/>
    <w:rsid w:val="00031C59"/>
    <w:rsid w:val="00031ECF"/>
    <w:rsid w:val="00031F61"/>
    <w:rsid w:val="000324E8"/>
    <w:rsid w:val="00032B50"/>
    <w:rsid w:val="000332DE"/>
    <w:rsid w:val="000335AD"/>
    <w:rsid w:val="0003400B"/>
    <w:rsid w:val="00034BD0"/>
    <w:rsid w:val="00037C7D"/>
    <w:rsid w:val="000406C0"/>
    <w:rsid w:val="00040755"/>
    <w:rsid w:val="000416A8"/>
    <w:rsid w:val="00041750"/>
    <w:rsid w:val="00042067"/>
    <w:rsid w:val="00042298"/>
    <w:rsid w:val="00042983"/>
    <w:rsid w:val="00042AEF"/>
    <w:rsid w:val="00043105"/>
    <w:rsid w:val="000431D4"/>
    <w:rsid w:val="00044619"/>
    <w:rsid w:val="000448CA"/>
    <w:rsid w:val="00044F56"/>
    <w:rsid w:val="000456AB"/>
    <w:rsid w:val="00045B94"/>
    <w:rsid w:val="000464A9"/>
    <w:rsid w:val="00046919"/>
    <w:rsid w:val="0004729C"/>
    <w:rsid w:val="000477F6"/>
    <w:rsid w:val="00047912"/>
    <w:rsid w:val="00047C68"/>
    <w:rsid w:val="00050EB2"/>
    <w:rsid w:val="00050F0B"/>
    <w:rsid w:val="00051607"/>
    <w:rsid w:val="00051FC7"/>
    <w:rsid w:val="0005293F"/>
    <w:rsid w:val="00052F40"/>
    <w:rsid w:val="0005328E"/>
    <w:rsid w:val="00053C11"/>
    <w:rsid w:val="00054545"/>
    <w:rsid w:val="0005514C"/>
    <w:rsid w:val="000575DC"/>
    <w:rsid w:val="000600F5"/>
    <w:rsid w:val="000607B3"/>
    <w:rsid w:val="000610D7"/>
    <w:rsid w:val="00062C37"/>
    <w:rsid w:val="00062E7C"/>
    <w:rsid w:val="00063DB3"/>
    <w:rsid w:val="0006469C"/>
    <w:rsid w:val="00064DA1"/>
    <w:rsid w:val="00065578"/>
    <w:rsid w:val="00065BDF"/>
    <w:rsid w:val="000674D3"/>
    <w:rsid w:val="00067FBE"/>
    <w:rsid w:val="0007037A"/>
    <w:rsid w:val="00070681"/>
    <w:rsid w:val="000708AF"/>
    <w:rsid w:val="00070B97"/>
    <w:rsid w:val="00070D71"/>
    <w:rsid w:val="00071C5E"/>
    <w:rsid w:val="00072782"/>
    <w:rsid w:val="00072BDD"/>
    <w:rsid w:val="00074151"/>
    <w:rsid w:val="000762AA"/>
    <w:rsid w:val="00076959"/>
    <w:rsid w:val="00076C6C"/>
    <w:rsid w:val="00076D8F"/>
    <w:rsid w:val="00077B3A"/>
    <w:rsid w:val="00077EAD"/>
    <w:rsid w:val="00080BFE"/>
    <w:rsid w:val="00082598"/>
    <w:rsid w:val="000828DF"/>
    <w:rsid w:val="00082B94"/>
    <w:rsid w:val="00083895"/>
    <w:rsid w:val="00083C35"/>
    <w:rsid w:val="00084967"/>
    <w:rsid w:val="0008565E"/>
    <w:rsid w:val="00086F1B"/>
    <w:rsid w:val="0008710D"/>
    <w:rsid w:val="000877A3"/>
    <w:rsid w:val="00087810"/>
    <w:rsid w:val="000879F9"/>
    <w:rsid w:val="000906AA"/>
    <w:rsid w:val="000907E8"/>
    <w:rsid w:val="000913A7"/>
    <w:rsid w:val="00091970"/>
    <w:rsid w:val="00092B16"/>
    <w:rsid w:val="000932F9"/>
    <w:rsid w:val="000935B3"/>
    <w:rsid w:val="00093A8B"/>
    <w:rsid w:val="00094244"/>
    <w:rsid w:val="000945E0"/>
    <w:rsid w:val="00094A9B"/>
    <w:rsid w:val="00095288"/>
    <w:rsid w:val="00096C43"/>
    <w:rsid w:val="00096CDD"/>
    <w:rsid w:val="00097141"/>
    <w:rsid w:val="00097289"/>
    <w:rsid w:val="000972B6"/>
    <w:rsid w:val="00097AD0"/>
    <w:rsid w:val="000A0555"/>
    <w:rsid w:val="000A08E1"/>
    <w:rsid w:val="000A1CC4"/>
    <w:rsid w:val="000A2A22"/>
    <w:rsid w:val="000A3EC9"/>
    <w:rsid w:val="000A4308"/>
    <w:rsid w:val="000A49D2"/>
    <w:rsid w:val="000A4AFA"/>
    <w:rsid w:val="000A5B72"/>
    <w:rsid w:val="000A67F7"/>
    <w:rsid w:val="000A710C"/>
    <w:rsid w:val="000A7428"/>
    <w:rsid w:val="000A7AFC"/>
    <w:rsid w:val="000B1240"/>
    <w:rsid w:val="000B1562"/>
    <w:rsid w:val="000B195D"/>
    <w:rsid w:val="000B1DF8"/>
    <w:rsid w:val="000B207D"/>
    <w:rsid w:val="000B20F3"/>
    <w:rsid w:val="000B2D84"/>
    <w:rsid w:val="000B337F"/>
    <w:rsid w:val="000B3CB9"/>
    <w:rsid w:val="000B401F"/>
    <w:rsid w:val="000B49DD"/>
    <w:rsid w:val="000B51BB"/>
    <w:rsid w:val="000C038F"/>
    <w:rsid w:val="000C09B8"/>
    <w:rsid w:val="000C2713"/>
    <w:rsid w:val="000C3F53"/>
    <w:rsid w:val="000C5512"/>
    <w:rsid w:val="000C5BBF"/>
    <w:rsid w:val="000C6D92"/>
    <w:rsid w:val="000C71EA"/>
    <w:rsid w:val="000D044F"/>
    <w:rsid w:val="000D08C4"/>
    <w:rsid w:val="000D1101"/>
    <w:rsid w:val="000D1AF4"/>
    <w:rsid w:val="000D1D4A"/>
    <w:rsid w:val="000D34B3"/>
    <w:rsid w:val="000D34CD"/>
    <w:rsid w:val="000D36EB"/>
    <w:rsid w:val="000D3BA6"/>
    <w:rsid w:val="000D3BAB"/>
    <w:rsid w:val="000D485D"/>
    <w:rsid w:val="000D488C"/>
    <w:rsid w:val="000D4D69"/>
    <w:rsid w:val="000D5200"/>
    <w:rsid w:val="000D6701"/>
    <w:rsid w:val="000D73C3"/>
    <w:rsid w:val="000D7472"/>
    <w:rsid w:val="000D76F3"/>
    <w:rsid w:val="000E0134"/>
    <w:rsid w:val="000E0935"/>
    <w:rsid w:val="000E09C6"/>
    <w:rsid w:val="000E10E7"/>
    <w:rsid w:val="000E10FA"/>
    <w:rsid w:val="000E152A"/>
    <w:rsid w:val="000E1FFD"/>
    <w:rsid w:val="000E26AD"/>
    <w:rsid w:val="000E2C33"/>
    <w:rsid w:val="000E2DC6"/>
    <w:rsid w:val="000E382D"/>
    <w:rsid w:val="000E456D"/>
    <w:rsid w:val="000E677E"/>
    <w:rsid w:val="000F0B07"/>
    <w:rsid w:val="000F1560"/>
    <w:rsid w:val="000F1979"/>
    <w:rsid w:val="000F2327"/>
    <w:rsid w:val="000F2AB4"/>
    <w:rsid w:val="000F3445"/>
    <w:rsid w:val="000F6092"/>
    <w:rsid w:val="000F63FA"/>
    <w:rsid w:val="000F7DDC"/>
    <w:rsid w:val="001009D6"/>
    <w:rsid w:val="00100CE0"/>
    <w:rsid w:val="00101B51"/>
    <w:rsid w:val="001021F6"/>
    <w:rsid w:val="00102C6F"/>
    <w:rsid w:val="00102E7B"/>
    <w:rsid w:val="001042D5"/>
    <w:rsid w:val="001042E4"/>
    <w:rsid w:val="001043F6"/>
    <w:rsid w:val="00104F67"/>
    <w:rsid w:val="001062B6"/>
    <w:rsid w:val="00106481"/>
    <w:rsid w:val="00107016"/>
    <w:rsid w:val="00110675"/>
    <w:rsid w:val="00110758"/>
    <w:rsid w:val="001108C2"/>
    <w:rsid w:val="00110B7D"/>
    <w:rsid w:val="00110E8E"/>
    <w:rsid w:val="0011164E"/>
    <w:rsid w:val="00112704"/>
    <w:rsid w:val="00112D8D"/>
    <w:rsid w:val="00112F65"/>
    <w:rsid w:val="00113317"/>
    <w:rsid w:val="001141AE"/>
    <w:rsid w:val="001152E3"/>
    <w:rsid w:val="001159F2"/>
    <w:rsid w:val="00115CA7"/>
    <w:rsid w:val="001169F5"/>
    <w:rsid w:val="00116EE0"/>
    <w:rsid w:val="00117AA8"/>
    <w:rsid w:val="00117B7E"/>
    <w:rsid w:val="00121409"/>
    <w:rsid w:val="00122BDA"/>
    <w:rsid w:val="001266E6"/>
    <w:rsid w:val="0012735B"/>
    <w:rsid w:val="00127F71"/>
    <w:rsid w:val="001303BC"/>
    <w:rsid w:val="00130678"/>
    <w:rsid w:val="001316C0"/>
    <w:rsid w:val="00132915"/>
    <w:rsid w:val="001359F3"/>
    <w:rsid w:val="00135FF5"/>
    <w:rsid w:val="0013642E"/>
    <w:rsid w:val="0013728D"/>
    <w:rsid w:val="00137A59"/>
    <w:rsid w:val="00137D80"/>
    <w:rsid w:val="001409EE"/>
    <w:rsid w:val="001415F9"/>
    <w:rsid w:val="001417B6"/>
    <w:rsid w:val="001438AF"/>
    <w:rsid w:val="00144686"/>
    <w:rsid w:val="0014584A"/>
    <w:rsid w:val="00145BCF"/>
    <w:rsid w:val="001501A9"/>
    <w:rsid w:val="0015125D"/>
    <w:rsid w:val="00151B2C"/>
    <w:rsid w:val="0015204C"/>
    <w:rsid w:val="001528BB"/>
    <w:rsid w:val="001531D5"/>
    <w:rsid w:val="00154126"/>
    <w:rsid w:val="00155768"/>
    <w:rsid w:val="00155786"/>
    <w:rsid w:val="001560B7"/>
    <w:rsid w:val="00157D9A"/>
    <w:rsid w:val="00160450"/>
    <w:rsid w:val="00160F42"/>
    <w:rsid w:val="00161167"/>
    <w:rsid w:val="00161A87"/>
    <w:rsid w:val="00161F36"/>
    <w:rsid w:val="00162712"/>
    <w:rsid w:val="00162A82"/>
    <w:rsid w:val="00162AC9"/>
    <w:rsid w:val="00163A35"/>
    <w:rsid w:val="0016418C"/>
    <w:rsid w:val="00164D01"/>
    <w:rsid w:val="0016534A"/>
    <w:rsid w:val="00166624"/>
    <w:rsid w:val="001679B4"/>
    <w:rsid w:val="00167F32"/>
    <w:rsid w:val="00171060"/>
    <w:rsid w:val="001713BA"/>
    <w:rsid w:val="001717B6"/>
    <w:rsid w:val="00171D6A"/>
    <w:rsid w:val="00172AEA"/>
    <w:rsid w:val="001734B3"/>
    <w:rsid w:val="0017381D"/>
    <w:rsid w:val="00174AD2"/>
    <w:rsid w:val="00175779"/>
    <w:rsid w:val="001758C8"/>
    <w:rsid w:val="001759B1"/>
    <w:rsid w:val="00175FDE"/>
    <w:rsid w:val="00176D66"/>
    <w:rsid w:val="00177073"/>
    <w:rsid w:val="00177B7E"/>
    <w:rsid w:val="00180BC3"/>
    <w:rsid w:val="00182515"/>
    <w:rsid w:val="0018263D"/>
    <w:rsid w:val="00183FF1"/>
    <w:rsid w:val="0018567E"/>
    <w:rsid w:val="00185D65"/>
    <w:rsid w:val="00187A23"/>
    <w:rsid w:val="0019027F"/>
    <w:rsid w:val="00190A86"/>
    <w:rsid w:val="0019185B"/>
    <w:rsid w:val="00191BF0"/>
    <w:rsid w:val="00192884"/>
    <w:rsid w:val="001928E2"/>
    <w:rsid w:val="00193BE5"/>
    <w:rsid w:val="00194ADA"/>
    <w:rsid w:val="00195227"/>
    <w:rsid w:val="00195D3A"/>
    <w:rsid w:val="001964A9"/>
    <w:rsid w:val="00196B25"/>
    <w:rsid w:val="00197080"/>
    <w:rsid w:val="001972C6"/>
    <w:rsid w:val="00197E17"/>
    <w:rsid w:val="001A0907"/>
    <w:rsid w:val="001A0FA1"/>
    <w:rsid w:val="001A1E59"/>
    <w:rsid w:val="001A2341"/>
    <w:rsid w:val="001A2960"/>
    <w:rsid w:val="001A419B"/>
    <w:rsid w:val="001A4366"/>
    <w:rsid w:val="001A4864"/>
    <w:rsid w:val="001A4A43"/>
    <w:rsid w:val="001A7518"/>
    <w:rsid w:val="001A782C"/>
    <w:rsid w:val="001A7EBB"/>
    <w:rsid w:val="001B0A64"/>
    <w:rsid w:val="001B2A9B"/>
    <w:rsid w:val="001B39C9"/>
    <w:rsid w:val="001B3CD0"/>
    <w:rsid w:val="001B3DE7"/>
    <w:rsid w:val="001B48A2"/>
    <w:rsid w:val="001B48AA"/>
    <w:rsid w:val="001B4D45"/>
    <w:rsid w:val="001B5074"/>
    <w:rsid w:val="001B55DE"/>
    <w:rsid w:val="001B5CF3"/>
    <w:rsid w:val="001B7021"/>
    <w:rsid w:val="001B72ED"/>
    <w:rsid w:val="001C042F"/>
    <w:rsid w:val="001C0579"/>
    <w:rsid w:val="001C1586"/>
    <w:rsid w:val="001C1D70"/>
    <w:rsid w:val="001C1E00"/>
    <w:rsid w:val="001C20F3"/>
    <w:rsid w:val="001C295D"/>
    <w:rsid w:val="001C3833"/>
    <w:rsid w:val="001C3CC4"/>
    <w:rsid w:val="001C5467"/>
    <w:rsid w:val="001C5C0F"/>
    <w:rsid w:val="001C5E4B"/>
    <w:rsid w:val="001C68BC"/>
    <w:rsid w:val="001C6948"/>
    <w:rsid w:val="001C797F"/>
    <w:rsid w:val="001C7AB2"/>
    <w:rsid w:val="001D0ECB"/>
    <w:rsid w:val="001D3F4C"/>
    <w:rsid w:val="001D43F4"/>
    <w:rsid w:val="001D4AD5"/>
    <w:rsid w:val="001D5114"/>
    <w:rsid w:val="001D52B3"/>
    <w:rsid w:val="001D57B6"/>
    <w:rsid w:val="001D598B"/>
    <w:rsid w:val="001D5C95"/>
    <w:rsid w:val="001D5F8C"/>
    <w:rsid w:val="001E0066"/>
    <w:rsid w:val="001E0095"/>
    <w:rsid w:val="001E1A95"/>
    <w:rsid w:val="001E1CBE"/>
    <w:rsid w:val="001E553B"/>
    <w:rsid w:val="001E59FC"/>
    <w:rsid w:val="001E5F0A"/>
    <w:rsid w:val="001E6FF9"/>
    <w:rsid w:val="001E7C93"/>
    <w:rsid w:val="001F05D3"/>
    <w:rsid w:val="001F0B58"/>
    <w:rsid w:val="001F1202"/>
    <w:rsid w:val="001F15A6"/>
    <w:rsid w:val="001F2892"/>
    <w:rsid w:val="001F2D87"/>
    <w:rsid w:val="001F2DAB"/>
    <w:rsid w:val="001F3A78"/>
    <w:rsid w:val="001F3C4B"/>
    <w:rsid w:val="001F52CD"/>
    <w:rsid w:val="001F5956"/>
    <w:rsid w:val="001F7942"/>
    <w:rsid w:val="001F7D58"/>
    <w:rsid w:val="0020075D"/>
    <w:rsid w:val="00200E4E"/>
    <w:rsid w:val="00201693"/>
    <w:rsid w:val="00201A82"/>
    <w:rsid w:val="00201A8C"/>
    <w:rsid w:val="00201E4B"/>
    <w:rsid w:val="002032BB"/>
    <w:rsid w:val="00203531"/>
    <w:rsid w:val="00203A83"/>
    <w:rsid w:val="0020507F"/>
    <w:rsid w:val="002060A2"/>
    <w:rsid w:val="0020672C"/>
    <w:rsid w:val="00206DCF"/>
    <w:rsid w:val="0021036A"/>
    <w:rsid w:val="00210A54"/>
    <w:rsid w:val="0021141B"/>
    <w:rsid w:val="0021197F"/>
    <w:rsid w:val="002122EF"/>
    <w:rsid w:val="0021447A"/>
    <w:rsid w:val="002146D5"/>
    <w:rsid w:val="0021505A"/>
    <w:rsid w:val="002165C0"/>
    <w:rsid w:val="0021722F"/>
    <w:rsid w:val="0022082B"/>
    <w:rsid w:val="00220C03"/>
    <w:rsid w:val="002210F0"/>
    <w:rsid w:val="00222133"/>
    <w:rsid w:val="002221AE"/>
    <w:rsid w:val="00222657"/>
    <w:rsid w:val="00223A56"/>
    <w:rsid w:val="00223DCE"/>
    <w:rsid w:val="00224A45"/>
    <w:rsid w:val="00225D98"/>
    <w:rsid w:val="00226E41"/>
    <w:rsid w:val="002275F9"/>
    <w:rsid w:val="002305CE"/>
    <w:rsid w:val="002328D3"/>
    <w:rsid w:val="00232E0F"/>
    <w:rsid w:val="0023395E"/>
    <w:rsid w:val="0023453C"/>
    <w:rsid w:val="00234EB9"/>
    <w:rsid w:val="002353F4"/>
    <w:rsid w:val="002356C9"/>
    <w:rsid w:val="00235D12"/>
    <w:rsid w:val="00235DAF"/>
    <w:rsid w:val="002367DB"/>
    <w:rsid w:val="00237939"/>
    <w:rsid w:val="00242305"/>
    <w:rsid w:val="002426E3"/>
    <w:rsid w:val="002430B6"/>
    <w:rsid w:val="00246C7D"/>
    <w:rsid w:val="00250BC1"/>
    <w:rsid w:val="00250C17"/>
    <w:rsid w:val="00250EC7"/>
    <w:rsid w:val="00251424"/>
    <w:rsid w:val="00251499"/>
    <w:rsid w:val="00251A4C"/>
    <w:rsid w:val="00251F72"/>
    <w:rsid w:val="002522D3"/>
    <w:rsid w:val="00252907"/>
    <w:rsid w:val="00252B10"/>
    <w:rsid w:val="0025360C"/>
    <w:rsid w:val="00254722"/>
    <w:rsid w:val="00254B44"/>
    <w:rsid w:val="002558D6"/>
    <w:rsid w:val="00255F8E"/>
    <w:rsid w:val="00256522"/>
    <w:rsid w:val="00256CD7"/>
    <w:rsid w:val="00262299"/>
    <w:rsid w:val="00262702"/>
    <w:rsid w:val="00264D40"/>
    <w:rsid w:val="00265B6B"/>
    <w:rsid w:val="00265E60"/>
    <w:rsid w:val="0026644B"/>
    <w:rsid w:val="00266869"/>
    <w:rsid w:val="00270325"/>
    <w:rsid w:val="002710DC"/>
    <w:rsid w:val="0027141D"/>
    <w:rsid w:val="0027219A"/>
    <w:rsid w:val="00272225"/>
    <w:rsid w:val="0027278B"/>
    <w:rsid w:val="00273022"/>
    <w:rsid w:val="00273BEA"/>
    <w:rsid w:val="00273BFE"/>
    <w:rsid w:val="00273CC8"/>
    <w:rsid w:val="00274512"/>
    <w:rsid w:val="00274608"/>
    <w:rsid w:val="0027572B"/>
    <w:rsid w:val="00275C10"/>
    <w:rsid w:val="00276CE5"/>
    <w:rsid w:val="00277189"/>
    <w:rsid w:val="002771C4"/>
    <w:rsid w:val="00277334"/>
    <w:rsid w:val="002812F9"/>
    <w:rsid w:val="00281EEF"/>
    <w:rsid w:val="00281FC4"/>
    <w:rsid w:val="002820A4"/>
    <w:rsid w:val="00282174"/>
    <w:rsid w:val="002826CA"/>
    <w:rsid w:val="00283F8D"/>
    <w:rsid w:val="00284D6F"/>
    <w:rsid w:val="00285C92"/>
    <w:rsid w:val="00290096"/>
    <w:rsid w:val="00291805"/>
    <w:rsid w:val="00291C48"/>
    <w:rsid w:val="00292132"/>
    <w:rsid w:val="00293AF1"/>
    <w:rsid w:val="00297E7D"/>
    <w:rsid w:val="002A0651"/>
    <w:rsid w:val="002A0B62"/>
    <w:rsid w:val="002A0D92"/>
    <w:rsid w:val="002A0F2F"/>
    <w:rsid w:val="002A1193"/>
    <w:rsid w:val="002A1CAF"/>
    <w:rsid w:val="002A1E58"/>
    <w:rsid w:val="002A1ED6"/>
    <w:rsid w:val="002A22C4"/>
    <w:rsid w:val="002A4143"/>
    <w:rsid w:val="002A4245"/>
    <w:rsid w:val="002A4428"/>
    <w:rsid w:val="002A4765"/>
    <w:rsid w:val="002A571A"/>
    <w:rsid w:val="002A767D"/>
    <w:rsid w:val="002B0DA9"/>
    <w:rsid w:val="002B16F1"/>
    <w:rsid w:val="002B3289"/>
    <w:rsid w:val="002B4A18"/>
    <w:rsid w:val="002B519D"/>
    <w:rsid w:val="002B59F7"/>
    <w:rsid w:val="002B717F"/>
    <w:rsid w:val="002C114D"/>
    <w:rsid w:val="002C1F48"/>
    <w:rsid w:val="002C37DB"/>
    <w:rsid w:val="002C4051"/>
    <w:rsid w:val="002C4811"/>
    <w:rsid w:val="002C48D5"/>
    <w:rsid w:val="002C54F7"/>
    <w:rsid w:val="002C5FBC"/>
    <w:rsid w:val="002C61B6"/>
    <w:rsid w:val="002C6F3D"/>
    <w:rsid w:val="002D0E8E"/>
    <w:rsid w:val="002D2706"/>
    <w:rsid w:val="002D31DA"/>
    <w:rsid w:val="002D39EA"/>
    <w:rsid w:val="002D406D"/>
    <w:rsid w:val="002D4A18"/>
    <w:rsid w:val="002D5BDF"/>
    <w:rsid w:val="002D5CB5"/>
    <w:rsid w:val="002D5F2B"/>
    <w:rsid w:val="002D5FEF"/>
    <w:rsid w:val="002D674E"/>
    <w:rsid w:val="002D7FD3"/>
    <w:rsid w:val="002E17A3"/>
    <w:rsid w:val="002E2257"/>
    <w:rsid w:val="002E22FB"/>
    <w:rsid w:val="002E2D4B"/>
    <w:rsid w:val="002E3361"/>
    <w:rsid w:val="002E33A4"/>
    <w:rsid w:val="002E398B"/>
    <w:rsid w:val="002E569C"/>
    <w:rsid w:val="002E5989"/>
    <w:rsid w:val="002E5A46"/>
    <w:rsid w:val="002E5AA5"/>
    <w:rsid w:val="002E5B97"/>
    <w:rsid w:val="002E604A"/>
    <w:rsid w:val="002E68A7"/>
    <w:rsid w:val="002E748D"/>
    <w:rsid w:val="002E75C7"/>
    <w:rsid w:val="002F05B9"/>
    <w:rsid w:val="002F08B5"/>
    <w:rsid w:val="002F1135"/>
    <w:rsid w:val="002F18C6"/>
    <w:rsid w:val="002F20D9"/>
    <w:rsid w:val="002F3EC6"/>
    <w:rsid w:val="002F4057"/>
    <w:rsid w:val="002F4654"/>
    <w:rsid w:val="002F58EB"/>
    <w:rsid w:val="002F59B1"/>
    <w:rsid w:val="00300059"/>
    <w:rsid w:val="00300753"/>
    <w:rsid w:val="003013B9"/>
    <w:rsid w:val="003015F3"/>
    <w:rsid w:val="00302717"/>
    <w:rsid w:val="003056C3"/>
    <w:rsid w:val="00305C67"/>
    <w:rsid w:val="00306944"/>
    <w:rsid w:val="003070C4"/>
    <w:rsid w:val="0030741E"/>
    <w:rsid w:val="0030748A"/>
    <w:rsid w:val="003076F2"/>
    <w:rsid w:val="00310F0F"/>
    <w:rsid w:val="00311E12"/>
    <w:rsid w:val="00312BC7"/>
    <w:rsid w:val="00315DC6"/>
    <w:rsid w:val="00315F0A"/>
    <w:rsid w:val="0031638C"/>
    <w:rsid w:val="0031685F"/>
    <w:rsid w:val="0031727D"/>
    <w:rsid w:val="003177A0"/>
    <w:rsid w:val="0031799B"/>
    <w:rsid w:val="00317BA5"/>
    <w:rsid w:val="00320133"/>
    <w:rsid w:val="0032033F"/>
    <w:rsid w:val="00320C95"/>
    <w:rsid w:val="003212D2"/>
    <w:rsid w:val="003214FA"/>
    <w:rsid w:val="003218A6"/>
    <w:rsid w:val="00321E9D"/>
    <w:rsid w:val="003229C9"/>
    <w:rsid w:val="00322D1F"/>
    <w:rsid w:val="00322F55"/>
    <w:rsid w:val="0032363B"/>
    <w:rsid w:val="00323823"/>
    <w:rsid w:val="00323FDE"/>
    <w:rsid w:val="003240DC"/>
    <w:rsid w:val="003245C3"/>
    <w:rsid w:val="00324A7C"/>
    <w:rsid w:val="00324E01"/>
    <w:rsid w:val="00325094"/>
    <w:rsid w:val="00325CE4"/>
    <w:rsid w:val="00325FB3"/>
    <w:rsid w:val="0032683F"/>
    <w:rsid w:val="00327745"/>
    <w:rsid w:val="00327B5F"/>
    <w:rsid w:val="00327B68"/>
    <w:rsid w:val="00327D80"/>
    <w:rsid w:val="00327E0E"/>
    <w:rsid w:val="00327E22"/>
    <w:rsid w:val="00330034"/>
    <w:rsid w:val="003308FA"/>
    <w:rsid w:val="00331A35"/>
    <w:rsid w:val="0033262D"/>
    <w:rsid w:val="003337B9"/>
    <w:rsid w:val="00333DB8"/>
    <w:rsid w:val="00334568"/>
    <w:rsid w:val="0033493B"/>
    <w:rsid w:val="00334942"/>
    <w:rsid w:val="003350FE"/>
    <w:rsid w:val="003353DF"/>
    <w:rsid w:val="003355EB"/>
    <w:rsid w:val="00336683"/>
    <w:rsid w:val="00336B86"/>
    <w:rsid w:val="00337764"/>
    <w:rsid w:val="003377CA"/>
    <w:rsid w:val="0034009D"/>
    <w:rsid w:val="00340654"/>
    <w:rsid w:val="00340871"/>
    <w:rsid w:val="00340AF8"/>
    <w:rsid w:val="00340D01"/>
    <w:rsid w:val="0034100B"/>
    <w:rsid w:val="00341FB1"/>
    <w:rsid w:val="00342C47"/>
    <w:rsid w:val="00342E4A"/>
    <w:rsid w:val="003430C9"/>
    <w:rsid w:val="0034330D"/>
    <w:rsid w:val="003439F9"/>
    <w:rsid w:val="00345079"/>
    <w:rsid w:val="0034576E"/>
    <w:rsid w:val="00345A23"/>
    <w:rsid w:val="00346F13"/>
    <w:rsid w:val="0034768D"/>
    <w:rsid w:val="0035082B"/>
    <w:rsid w:val="00351422"/>
    <w:rsid w:val="00351C77"/>
    <w:rsid w:val="00352490"/>
    <w:rsid w:val="00352EFC"/>
    <w:rsid w:val="00353AD0"/>
    <w:rsid w:val="00354FDA"/>
    <w:rsid w:val="003554F9"/>
    <w:rsid w:val="00355C2B"/>
    <w:rsid w:val="00356CB0"/>
    <w:rsid w:val="00356EA0"/>
    <w:rsid w:val="0035759A"/>
    <w:rsid w:val="00357942"/>
    <w:rsid w:val="003620A5"/>
    <w:rsid w:val="00362260"/>
    <w:rsid w:val="00362BFD"/>
    <w:rsid w:val="00363090"/>
    <w:rsid w:val="00363290"/>
    <w:rsid w:val="0036383D"/>
    <w:rsid w:val="00364CB0"/>
    <w:rsid w:val="0036527F"/>
    <w:rsid w:val="00366118"/>
    <w:rsid w:val="00366406"/>
    <w:rsid w:val="00367276"/>
    <w:rsid w:val="0036737A"/>
    <w:rsid w:val="0037067A"/>
    <w:rsid w:val="00371637"/>
    <w:rsid w:val="00371B22"/>
    <w:rsid w:val="0037293C"/>
    <w:rsid w:val="00372EBE"/>
    <w:rsid w:val="00373DC1"/>
    <w:rsid w:val="003741E1"/>
    <w:rsid w:val="003752BF"/>
    <w:rsid w:val="0037619C"/>
    <w:rsid w:val="003772E3"/>
    <w:rsid w:val="003775B5"/>
    <w:rsid w:val="00377829"/>
    <w:rsid w:val="00380074"/>
    <w:rsid w:val="0038035A"/>
    <w:rsid w:val="00380685"/>
    <w:rsid w:val="00381B76"/>
    <w:rsid w:val="003821DB"/>
    <w:rsid w:val="00384B82"/>
    <w:rsid w:val="003852BA"/>
    <w:rsid w:val="003862CF"/>
    <w:rsid w:val="003867C9"/>
    <w:rsid w:val="003872FF"/>
    <w:rsid w:val="003903C3"/>
    <w:rsid w:val="00392BC1"/>
    <w:rsid w:val="00392F63"/>
    <w:rsid w:val="003935BC"/>
    <w:rsid w:val="00393A2E"/>
    <w:rsid w:val="00393AB9"/>
    <w:rsid w:val="003946F4"/>
    <w:rsid w:val="00395612"/>
    <w:rsid w:val="0039597C"/>
    <w:rsid w:val="003959B6"/>
    <w:rsid w:val="00395B20"/>
    <w:rsid w:val="00395C5F"/>
    <w:rsid w:val="00396080"/>
    <w:rsid w:val="00397832"/>
    <w:rsid w:val="003979BC"/>
    <w:rsid w:val="003A2DA4"/>
    <w:rsid w:val="003A3333"/>
    <w:rsid w:val="003A3597"/>
    <w:rsid w:val="003A3D46"/>
    <w:rsid w:val="003A47C7"/>
    <w:rsid w:val="003A4B79"/>
    <w:rsid w:val="003A4E08"/>
    <w:rsid w:val="003A5A5D"/>
    <w:rsid w:val="003A6C76"/>
    <w:rsid w:val="003A7317"/>
    <w:rsid w:val="003A7542"/>
    <w:rsid w:val="003A774B"/>
    <w:rsid w:val="003B1227"/>
    <w:rsid w:val="003B1564"/>
    <w:rsid w:val="003B299E"/>
    <w:rsid w:val="003B3038"/>
    <w:rsid w:val="003B315B"/>
    <w:rsid w:val="003B475C"/>
    <w:rsid w:val="003B4D59"/>
    <w:rsid w:val="003B5C74"/>
    <w:rsid w:val="003B602F"/>
    <w:rsid w:val="003B61A1"/>
    <w:rsid w:val="003B6582"/>
    <w:rsid w:val="003B6E4F"/>
    <w:rsid w:val="003B751B"/>
    <w:rsid w:val="003B7579"/>
    <w:rsid w:val="003B7611"/>
    <w:rsid w:val="003C1EA8"/>
    <w:rsid w:val="003C1FBD"/>
    <w:rsid w:val="003C2435"/>
    <w:rsid w:val="003C3419"/>
    <w:rsid w:val="003C3588"/>
    <w:rsid w:val="003C3AEA"/>
    <w:rsid w:val="003C3EF3"/>
    <w:rsid w:val="003C52BA"/>
    <w:rsid w:val="003C58AC"/>
    <w:rsid w:val="003C5E4C"/>
    <w:rsid w:val="003C69C0"/>
    <w:rsid w:val="003C6F4A"/>
    <w:rsid w:val="003C75C2"/>
    <w:rsid w:val="003C7969"/>
    <w:rsid w:val="003D0A83"/>
    <w:rsid w:val="003D0F67"/>
    <w:rsid w:val="003D1362"/>
    <w:rsid w:val="003D2140"/>
    <w:rsid w:val="003D2E7C"/>
    <w:rsid w:val="003D3D46"/>
    <w:rsid w:val="003D53F5"/>
    <w:rsid w:val="003D554E"/>
    <w:rsid w:val="003D5C64"/>
    <w:rsid w:val="003D60E9"/>
    <w:rsid w:val="003E00C8"/>
    <w:rsid w:val="003E2B9F"/>
    <w:rsid w:val="003E347F"/>
    <w:rsid w:val="003E350A"/>
    <w:rsid w:val="003E45C4"/>
    <w:rsid w:val="003E4B06"/>
    <w:rsid w:val="003E5801"/>
    <w:rsid w:val="003E5830"/>
    <w:rsid w:val="003E5FB4"/>
    <w:rsid w:val="003F0723"/>
    <w:rsid w:val="003F0C6B"/>
    <w:rsid w:val="003F0C8A"/>
    <w:rsid w:val="003F1444"/>
    <w:rsid w:val="003F1E16"/>
    <w:rsid w:val="003F20D4"/>
    <w:rsid w:val="003F34AD"/>
    <w:rsid w:val="003F351F"/>
    <w:rsid w:val="003F4680"/>
    <w:rsid w:val="003F62AA"/>
    <w:rsid w:val="0040040C"/>
    <w:rsid w:val="004005A4"/>
    <w:rsid w:val="00400F01"/>
    <w:rsid w:val="00401945"/>
    <w:rsid w:val="004022FA"/>
    <w:rsid w:val="00402545"/>
    <w:rsid w:val="00402A0F"/>
    <w:rsid w:val="00402DF2"/>
    <w:rsid w:val="0040494B"/>
    <w:rsid w:val="00405A57"/>
    <w:rsid w:val="00406415"/>
    <w:rsid w:val="00407348"/>
    <w:rsid w:val="00407DFD"/>
    <w:rsid w:val="0041017E"/>
    <w:rsid w:val="0041022B"/>
    <w:rsid w:val="004114EF"/>
    <w:rsid w:val="004116DF"/>
    <w:rsid w:val="0041188E"/>
    <w:rsid w:val="00411F4B"/>
    <w:rsid w:val="0041210E"/>
    <w:rsid w:val="00412748"/>
    <w:rsid w:val="004131A2"/>
    <w:rsid w:val="004138FD"/>
    <w:rsid w:val="00414346"/>
    <w:rsid w:val="00414502"/>
    <w:rsid w:val="00414CE6"/>
    <w:rsid w:val="004155F6"/>
    <w:rsid w:val="004159D0"/>
    <w:rsid w:val="00415AD7"/>
    <w:rsid w:val="00415B0C"/>
    <w:rsid w:val="004161FD"/>
    <w:rsid w:val="004170BC"/>
    <w:rsid w:val="00417CD8"/>
    <w:rsid w:val="00420052"/>
    <w:rsid w:val="00420321"/>
    <w:rsid w:val="004206AA"/>
    <w:rsid w:val="004208F6"/>
    <w:rsid w:val="0042209F"/>
    <w:rsid w:val="00422534"/>
    <w:rsid w:val="00423198"/>
    <w:rsid w:val="00423789"/>
    <w:rsid w:val="004244AA"/>
    <w:rsid w:val="00424A17"/>
    <w:rsid w:val="00424E46"/>
    <w:rsid w:val="00424FB2"/>
    <w:rsid w:val="00425056"/>
    <w:rsid w:val="00425103"/>
    <w:rsid w:val="0042717D"/>
    <w:rsid w:val="004275B7"/>
    <w:rsid w:val="00431B78"/>
    <w:rsid w:val="00432B0A"/>
    <w:rsid w:val="00432B6C"/>
    <w:rsid w:val="0043310E"/>
    <w:rsid w:val="004335CB"/>
    <w:rsid w:val="0043412F"/>
    <w:rsid w:val="0043450C"/>
    <w:rsid w:val="0043558A"/>
    <w:rsid w:val="0043589C"/>
    <w:rsid w:val="00435CA0"/>
    <w:rsid w:val="00436EDD"/>
    <w:rsid w:val="004376D1"/>
    <w:rsid w:val="004378BF"/>
    <w:rsid w:val="00437B00"/>
    <w:rsid w:val="00441419"/>
    <w:rsid w:val="0044233A"/>
    <w:rsid w:val="004436ED"/>
    <w:rsid w:val="0044415C"/>
    <w:rsid w:val="004448F2"/>
    <w:rsid w:val="00444A99"/>
    <w:rsid w:val="00444D74"/>
    <w:rsid w:val="00445924"/>
    <w:rsid w:val="00450123"/>
    <w:rsid w:val="004504FF"/>
    <w:rsid w:val="00451B01"/>
    <w:rsid w:val="00451DE4"/>
    <w:rsid w:val="00452182"/>
    <w:rsid w:val="004528B3"/>
    <w:rsid w:val="0045481F"/>
    <w:rsid w:val="004552AD"/>
    <w:rsid w:val="004556B7"/>
    <w:rsid w:val="00455DC8"/>
    <w:rsid w:val="00457CC3"/>
    <w:rsid w:val="00457E84"/>
    <w:rsid w:val="004601C7"/>
    <w:rsid w:val="00461746"/>
    <w:rsid w:val="00461A17"/>
    <w:rsid w:val="004621BA"/>
    <w:rsid w:val="00462E9B"/>
    <w:rsid w:val="0046329F"/>
    <w:rsid w:val="004649F3"/>
    <w:rsid w:val="00464CF5"/>
    <w:rsid w:val="00466031"/>
    <w:rsid w:val="00467089"/>
    <w:rsid w:val="00467756"/>
    <w:rsid w:val="00471B3B"/>
    <w:rsid w:val="00472003"/>
    <w:rsid w:val="004722ED"/>
    <w:rsid w:val="004724AE"/>
    <w:rsid w:val="004728EA"/>
    <w:rsid w:val="00472E07"/>
    <w:rsid w:val="00473675"/>
    <w:rsid w:val="00474596"/>
    <w:rsid w:val="00475846"/>
    <w:rsid w:val="00477D8A"/>
    <w:rsid w:val="00480199"/>
    <w:rsid w:val="00480790"/>
    <w:rsid w:val="00480DC2"/>
    <w:rsid w:val="004810BB"/>
    <w:rsid w:val="004816BF"/>
    <w:rsid w:val="00481D56"/>
    <w:rsid w:val="00481D64"/>
    <w:rsid w:val="00482679"/>
    <w:rsid w:val="00482F74"/>
    <w:rsid w:val="00484371"/>
    <w:rsid w:val="00485B37"/>
    <w:rsid w:val="00486DD5"/>
    <w:rsid w:val="00487321"/>
    <w:rsid w:val="00487F3C"/>
    <w:rsid w:val="0049061F"/>
    <w:rsid w:val="00492295"/>
    <w:rsid w:val="00492556"/>
    <w:rsid w:val="00493824"/>
    <w:rsid w:val="00493B00"/>
    <w:rsid w:val="00493D43"/>
    <w:rsid w:val="004945AB"/>
    <w:rsid w:val="004945B8"/>
    <w:rsid w:val="00494888"/>
    <w:rsid w:val="00494CA8"/>
    <w:rsid w:val="00496896"/>
    <w:rsid w:val="00496973"/>
    <w:rsid w:val="00496DC1"/>
    <w:rsid w:val="004A09F2"/>
    <w:rsid w:val="004A18C6"/>
    <w:rsid w:val="004A1B52"/>
    <w:rsid w:val="004A2E09"/>
    <w:rsid w:val="004A3003"/>
    <w:rsid w:val="004A30C6"/>
    <w:rsid w:val="004A3884"/>
    <w:rsid w:val="004A3C8E"/>
    <w:rsid w:val="004A43BD"/>
    <w:rsid w:val="004A45ED"/>
    <w:rsid w:val="004A497A"/>
    <w:rsid w:val="004A4C3D"/>
    <w:rsid w:val="004A62C9"/>
    <w:rsid w:val="004A6A54"/>
    <w:rsid w:val="004A7392"/>
    <w:rsid w:val="004A73A7"/>
    <w:rsid w:val="004B1627"/>
    <w:rsid w:val="004B1A4D"/>
    <w:rsid w:val="004B1EEA"/>
    <w:rsid w:val="004B220F"/>
    <w:rsid w:val="004B225A"/>
    <w:rsid w:val="004B32FD"/>
    <w:rsid w:val="004B3FB6"/>
    <w:rsid w:val="004B602E"/>
    <w:rsid w:val="004B605B"/>
    <w:rsid w:val="004B637C"/>
    <w:rsid w:val="004B665B"/>
    <w:rsid w:val="004B6C50"/>
    <w:rsid w:val="004B7466"/>
    <w:rsid w:val="004C1CAE"/>
    <w:rsid w:val="004C2CCE"/>
    <w:rsid w:val="004C3C4B"/>
    <w:rsid w:val="004C3EA7"/>
    <w:rsid w:val="004C48F1"/>
    <w:rsid w:val="004C48FC"/>
    <w:rsid w:val="004C65D3"/>
    <w:rsid w:val="004C6FB9"/>
    <w:rsid w:val="004C7B84"/>
    <w:rsid w:val="004C7DF2"/>
    <w:rsid w:val="004D06E4"/>
    <w:rsid w:val="004D13DA"/>
    <w:rsid w:val="004D181D"/>
    <w:rsid w:val="004D1E15"/>
    <w:rsid w:val="004D2AED"/>
    <w:rsid w:val="004D373A"/>
    <w:rsid w:val="004D3C11"/>
    <w:rsid w:val="004D4932"/>
    <w:rsid w:val="004D4B03"/>
    <w:rsid w:val="004D5E6F"/>
    <w:rsid w:val="004D723C"/>
    <w:rsid w:val="004D7C93"/>
    <w:rsid w:val="004D7E66"/>
    <w:rsid w:val="004E0FF8"/>
    <w:rsid w:val="004E189B"/>
    <w:rsid w:val="004E18C3"/>
    <w:rsid w:val="004E247D"/>
    <w:rsid w:val="004E29F6"/>
    <w:rsid w:val="004E3EA9"/>
    <w:rsid w:val="004E4295"/>
    <w:rsid w:val="004E49BF"/>
    <w:rsid w:val="004E5820"/>
    <w:rsid w:val="004E6414"/>
    <w:rsid w:val="004E64BD"/>
    <w:rsid w:val="004E6B47"/>
    <w:rsid w:val="004E74F6"/>
    <w:rsid w:val="004E76A8"/>
    <w:rsid w:val="004F05CB"/>
    <w:rsid w:val="004F061C"/>
    <w:rsid w:val="004F0B89"/>
    <w:rsid w:val="004F0EB2"/>
    <w:rsid w:val="004F216A"/>
    <w:rsid w:val="004F2D43"/>
    <w:rsid w:val="004F2FA2"/>
    <w:rsid w:val="004F3906"/>
    <w:rsid w:val="004F5161"/>
    <w:rsid w:val="004F5A14"/>
    <w:rsid w:val="004F6598"/>
    <w:rsid w:val="004F6BD8"/>
    <w:rsid w:val="004F7755"/>
    <w:rsid w:val="004F7838"/>
    <w:rsid w:val="00500344"/>
    <w:rsid w:val="00500750"/>
    <w:rsid w:val="00500943"/>
    <w:rsid w:val="0050114E"/>
    <w:rsid w:val="005017A6"/>
    <w:rsid w:val="00502CB9"/>
    <w:rsid w:val="00503BEA"/>
    <w:rsid w:val="00503DA9"/>
    <w:rsid w:val="0050453C"/>
    <w:rsid w:val="0050478A"/>
    <w:rsid w:val="005047CE"/>
    <w:rsid w:val="005056C9"/>
    <w:rsid w:val="00506300"/>
    <w:rsid w:val="00506849"/>
    <w:rsid w:val="005100D0"/>
    <w:rsid w:val="00510297"/>
    <w:rsid w:val="00510A16"/>
    <w:rsid w:val="00510ACF"/>
    <w:rsid w:val="005133F6"/>
    <w:rsid w:val="00514D45"/>
    <w:rsid w:val="00521217"/>
    <w:rsid w:val="005220F6"/>
    <w:rsid w:val="00522A11"/>
    <w:rsid w:val="00522F38"/>
    <w:rsid w:val="00523B80"/>
    <w:rsid w:val="0052436A"/>
    <w:rsid w:val="005250DD"/>
    <w:rsid w:val="00527317"/>
    <w:rsid w:val="00532D97"/>
    <w:rsid w:val="00533115"/>
    <w:rsid w:val="00534A51"/>
    <w:rsid w:val="00534EEF"/>
    <w:rsid w:val="00535FFB"/>
    <w:rsid w:val="00536C80"/>
    <w:rsid w:val="00540B5C"/>
    <w:rsid w:val="00541053"/>
    <w:rsid w:val="00542148"/>
    <w:rsid w:val="00542E62"/>
    <w:rsid w:val="00542F83"/>
    <w:rsid w:val="005432EE"/>
    <w:rsid w:val="00543EA1"/>
    <w:rsid w:val="005459BD"/>
    <w:rsid w:val="00545BAF"/>
    <w:rsid w:val="00547C44"/>
    <w:rsid w:val="0055031D"/>
    <w:rsid w:val="005511D2"/>
    <w:rsid w:val="005512A2"/>
    <w:rsid w:val="00552D80"/>
    <w:rsid w:val="005551B9"/>
    <w:rsid w:val="0055522D"/>
    <w:rsid w:val="00555A9B"/>
    <w:rsid w:val="00555D6C"/>
    <w:rsid w:val="00556617"/>
    <w:rsid w:val="00556D9C"/>
    <w:rsid w:val="00557513"/>
    <w:rsid w:val="00560129"/>
    <w:rsid w:val="00560309"/>
    <w:rsid w:val="00560FD2"/>
    <w:rsid w:val="00561016"/>
    <w:rsid w:val="00561561"/>
    <w:rsid w:val="005615B5"/>
    <w:rsid w:val="00561A59"/>
    <w:rsid w:val="00562683"/>
    <w:rsid w:val="00562985"/>
    <w:rsid w:val="00562ACB"/>
    <w:rsid w:val="00562E9F"/>
    <w:rsid w:val="00563C28"/>
    <w:rsid w:val="0056488C"/>
    <w:rsid w:val="00566D41"/>
    <w:rsid w:val="00567B0B"/>
    <w:rsid w:val="00567DBC"/>
    <w:rsid w:val="00570099"/>
    <w:rsid w:val="00570295"/>
    <w:rsid w:val="0057035F"/>
    <w:rsid w:val="0057041D"/>
    <w:rsid w:val="00572017"/>
    <w:rsid w:val="005728D7"/>
    <w:rsid w:val="00572C36"/>
    <w:rsid w:val="00574034"/>
    <w:rsid w:val="005743D2"/>
    <w:rsid w:val="00574D02"/>
    <w:rsid w:val="005760B3"/>
    <w:rsid w:val="005760BE"/>
    <w:rsid w:val="00576F10"/>
    <w:rsid w:val="005813EC"/>
    <w:rsid w:val="00581628"/>
    <w:rsid w:val="00581A83"/>
    <w:rsid w:val="00581F7D"/>
    <w:rsid w:val="005825D3"/>
    <w:rsid w:val="00582B9C"/>
    <w:rsid w:val="00582E1B"/>
    <w:rsid w:val="005839E5"/>
    <w:rsid w:val="00583BE7"/>
    <w:rsid w:val="00584364"/>
    <w:rsid w:val="005850DB"/>
    <w:rsid w:val="0058655C"/>
    <w:rsid w:val="0058771B"/>
    <w:rsid w:val="00590E66"/>
    <w:rsid w:val="0059117F"/>
    <w:rsid w:val="0059131C"/>
    <w:rsid w:val="005913B5"/>
    <w:rsid w:val="00591873"/>
    <w:rsid w:val="00591C70"/>
    <w:rsid w:val="0059203F"/>
    <w:rsid w:val="00592044"/>
    <w:rsid w:val="00592757"/>
    <w:rsid w:val="005928F8"/>
    <w:rsid w:val="00593254"/>
    <w:rsid w:val="00593B26"/>
    <w:rsid w:val="00594271"/>
    <w:rsid w:val="00594350"/>
    <w:rsid w:val="00595066"/>
    <w:rsid w:val="005955C2"/>
    <w:rsid w:val="00595D48"/>
    <w:rsid w:val="005964F8"/>
    <w:rsid w:val="00597F76"/>
    <w:rsid w:val="005A139E"/>
    <w:rsid w:val="005A36C8"/>
    <w:rsid w:val="005A3762"/>
    <w:rsid w:val="005A39E8"/>
    <w:rsid w:val="005A3B5E"/>
    <w:rsid w:val="005A5408"/>
    <w:rsid w:val="005A6575"/>
    <w:rsid w:val="005A66B9"/>
    <w:rsid w:val="005A6996"/>
    <w:rsid w:val="005A7115"/>
    <w:rsid w:val="005B02AD"/>
    <w:rsid w:val="005B283A"/>
    <w:rsid w:val="005B3587"/>
    <w:rsid w:val="005B55DF"/>
    <w:rsid w:val="005B6232"/>
    <w:rsid w:val="005B79B1"/>
    <w:rsid w:val="005C0604"/>
    <w:rsid w:val="005C11CD"/>
    <w:rsid w:val="005C13D3"/>
    <w:rsid w:val="005C1F12"/>
    <w:rsid w:val="005C2C13"/>
    <w:rsid w:val="005C3EBF"/>
    <w:rsid w:val="005C44F2"/>
    <w:rsid w:val="005C4853"/>
    <w:rsid w:val="005C53EE"/>
    <w:rsid w:val="005C5EC0"/>
    <w:rsid w:val="005C636E"/>
    <w:rsid w:val="005C6747"/>
    <w:rsid w:val="005C74F3"/>
    <w:rsid w:val="005C75A1"/>
    <w:rsid w:val="005C7873"/>
    <w:rsid w:val="005D08BE"/>
    <w:rsid w:val="005D0DB8"/>
    <w:rsid w:val="005D0F01"/>
    <w:rsid w:val="005D2460"/>
    <w:rsid w:val="005D365B"/>
    <w:rsid w:val="005D63A8"/>
    <w:rsid w:val="005D6598"/>
    <w:rsid w:val="005D66B5"/>
    <w:rsid w:val="005D71A6"/>
    <w:rsid w:val="005D7491"/>
    <w:rsid w:val="005D7A09"/>
    <w:rsid w:val="005E01FB"/>
    <w:rsid w:val="005E02BC"/>
    <w:rsid w:val="005E0403"/>
    <w:rsid w:val="005E0D90"/>
    <w:rsid w:val="005E11DB"/>
    <w:rsid w:val="005E1837"/>
    <w:rsid w:val="005E2A99"/>
    <w:rsid w:val="005E36EA"/>
    <w:rsid w:val="005E3819"/>
    <w:rsid w:val="005E386C"/>
    <w:rsid w:val="005E3F46"/>
    <w:rsid w:val="005E3FF7"/>
    <w:rsid w:val="005E4062"/>
    <w:rsid w:val="005E415A"/>
    <w:rsid w:val="005E44EA"/>
    <w:rsid w:val="005E516F"/>
    <w:rsid w:val="005E54B6"/>
    <w:rsid w:val="005E5EF5"/>
    <w:rsid w:val="005E614E"/>
    <w:rsid w:val="005E6968"/>
    <w:rsid w:val="005E6D5A"/>
    <w:rsid w:val="005E73C3"/>
    <w:rsid w:val="005F0493"/>
    <w:rsid w:val="005F0511"/>
    <w:rsid w:val="005F1DE6"/>
    <w:rsid w:val="005F1DE8"/>
    <w:rsid w:val="005F2919"/>
    <w:rsid w:val="005F35D5"/>
    <w:rsid w:val="005F366E"/>
    <w:rsid w:val="005F43E2"/>
    <w:rsid w:val="005F45C4"/>
    <w:rsid w:val="005F46C2"/>
    <w:rsid w:val="005F5BB8"/>
    <w:rsid w:val="005F6049"/>
    <w:rsid w:val="005F62C1"/>
    <w:rsid w:val="005F6804"/>
    <w:rsid w:val="005F6987"/>
    <w:rsid w:val="005F6B00"/>
    <w:rsid w:val="005F6C92"/>
    <w:rsid w:val="005F73D9"/>
    <w:rsid w:val="006000D2"/>
    <w:rsid w:val="00600BE8"/>
    <w:rsid w:val="00601E79"/>
    <w:rsid w:val="00602689"/>
    <w:rsid w:val="00603410"/>
    <w:rsid w:val="00603AE0"/>
    <w:rsid w:val="0060466F"/>
    <w:rsid w:val="00605281"/>
    <w:rsid w:val="0060561E"/>
    <w:rsid w:val="00605ABB"/>
    <w:rsid w:val="00606277"/>
    <w:rsid w:val="00611B4D"/>
    <w:rsid w:val="0061515D"/>
    <w:rsid w:val="0061563B"/>
    <w:rsid w:val="00615C03"/>
    <w:rsid w:val="0061720D"/>
    <w:rsid w:val="006179B2"/>
    <w:rsid w:val="006206D3"/>
    <w:rsid w:val="006207A4"/>
    <w:rsid w:val="006233CE"/>
    <w:rsid w:val="00624182"/>
    <w:rsid w:val="00625183"/>
    <w:rsid w:val="006253D0"/>
    <w:rsid w:val="00626537"/>
    <w:rsid w:val="006278AF"/>
    <w:rsid w:val="00630969"/>
    <w:rsid w:val="00630999"/>
    <w:rsid w:val="00631552"/>
    <w:rsid w:val="0063157D"/>
    <w:rsid w:val="00631C3F"/>
    <w:rsid w:val="00632F11"/>
    <w:rsid w:val="006334CB"/>
    <w:rsid w:val="0063381F"/>
    <w:rsid w:val="00633A44"/>
    <w:rsid w:val="00633A65"/>
    <w:rsid w:val="00633E80"/>
    <w:rsid w:val="00634E4E"/>
    <w:rsid w:val="00636C1E"/>
    <w:rsid w:val="00636E32"/>
    <w:rsid w:val="00637C12"/>
    <w:rsid w:val="00640345"/>
    <w:rsid w:val="00640E26"/>
    <w:rsid w:val="006410BB"/>
    <w:rsid w:val="00641181"/>
    <w:rsid w:val="00642363"/>
    <w:rsid w:val="006427BB"/>
    <w:rsid w:val="00642C50"/>
    <w:rsid w:val="00643AE5"/>
    <w:rsid w:val="006447FE"/>
    <w:rsid w:val="00644C29"/>
    <w:rsid w:val="006451F6"/>
    <w:rsid w:val="006453C9"/>
    <w:rsid w:val="006460B6"/>
    <w:rsid w:val="00646491"/>
    <w:rsid w:val="006479E2"/>
    <w:rsid w:val="00647E32"/>
    <w:rsid w:val="00650AE4"/>
    <w:rsid w:val="006510C7"/>
    <w:rsid w:val="00653171"/>
    <w:rsid w:val="0065355D"/>
    <w:rsid w:val="006537D6"/>
    <w:rsid w:val="00654134"/>
    <w:rsid w:val="006545D3"/>
    <w:rsid w:val="006547FA"/>
    <w:rsid w:val="00655453"/>
    <w:rsid w:val="00656347"/>
    <w:rsid w:val="00657209"/>
    <w:rsid w:val="0065784E"/>
    <w:rsid w:val="0066037B"/>
    <w:rsid w:val="00661B14"/>
    <w:rsid w:val="006622AF"/>
    <w:rsid w:val="00662991"/>
    <w:rsid w:val="006639ED"/>
    <w:rsid w:val="00663D23"/>
    <w:rsid w:val="00664D11"/>
    <w:rsid w:val="00664FA2"/>
    <w:rsid w:val="00664FD4"/>
    <w:rsid w:val="00665EBB"/>
    <w:rsid w:val="006660AF"/>
    <w:rsid w:val="00667555"/>
    <w:rsid w:val="006676B6"/>
    <w:rsid w:val="0066796B"/>
    <w:rsid w:val="00671593"/>
    <w:rsid w:val="006724E5"/>
    <w:rsid w:val="00672524"/>
    <w:rsid w:val="00674165"/>
    <w:rsid w:val="0067469E"/>
    <w:rsid w:val="00674A30"/>
    <w:rsid w:val="00674E7E"/>
    <w:rsid w:val="00676774"/>
    <w:rsid w:val="00676901"/>
    <w:rsid w:val="00676B62"/>
    <w:rsid w:val="00677035"/>
    <w:rsid w:val="00677E43"/>
    <w:rsid w:val="0068139A"/>
    <w:rsid w:val="00681D21"/>
    <w:rsid w:val="0068201C"/>
    <w:rsid w:val="00682BF9"/>
    <w:rsid w:val="00682FEB"/>
    <w:rsid w:val="0068319A"/>
    <w:rsid w:val="0068391C"/>
    <w:rsid w:val="006847C8"/>
    <w:rsid w:val="00685437"/>
    <w:rsid w:val="00685E07"/>
    <w:rsid w:val="00686284"/>
    <w:rsid w:val="006865A1"/>
    <w:rsid w:val="00687649"/>
    <w:rsid w:val="00687ACA"/>
    <w:rsid w:val="006901BA"/>
    <w:rsid w:val="006901CC"/>
    <w:rsid w:val="00691BB3"/>
    <w:rsid w:val="006924C6"/>
    <w:rsid w:val="00692A36"/>
    <w:rsid w:val="0069302F"/>
    <w:rsid w:val="0069346F"/>
    <w:rsid w:val="00694048"/>
    <w:rsid w:val="006941F8"/>
    <w:rsid w:val="0069427A"/>
    <w:rsid w:val="006944DB"/>
    <w:rsid w:val="00695ACA"/>
    <w:rsid w:val="00696946"/>
    <w:rsid w:val="00696F2B"/>
    <w:rsid w:val="006A01C9"/>
    <w:rsid w:val="006A030C"/>
    <w:rsid w:val="006A09C8"/>
    <w:rsid w:val="006A0F40"/>
    <w:rsid w:val="006A1179"/>
    <w:rsid w:val="006A12A3"/>
    <w:rsid w:val="006A2176"/>
    <w:rsid w:val="006A3670"/>
    <w:rsid w:val="006A370D"/>
    <w:rsid w:val="006A4225"/>
    <w:rsid w:val="006A446B"/>
    <w:rsid w:val="006A49C6"/>
    <w:rsid w:val="006A5CBB"/>
    <w:rsid w:val="006A6280"/>
    <w:rsid w:val="006A6E79"/>
    <w:rsid w:val="006A7CA0"/>
    <w:rsid w:val="006A7E70"/>
    <w:rsid w:val="006B0FC0"/>
    <w:rsid w:val="006B15D3"/>
    <w:rsid w:val="006B1661"/>
    <w:rsid w:val="006B1F49"/>
    <w:rsid w:val="006B27BF"/>
    <w:rsid w:val="006B2ADA"/>
    <w:rsid w:val="006B2BFA"/>
    <w:rsid w:val="006B3A48"/>
    <w:rsid w:val="006B420E"/>
    <w:rsid w:val="006B4990"/>
    <w:rsid w:val="006B4A83"/>
    <w:rsid w:val="006B4B4F"/>
    <w:rsid w:val="006B56F8"/>
    <w:rsid w:val="006B5FDA"/>
    <w:rsid w:val="006B60E1"/>
    <w:rsid w:val="006B6A51"/>
    <w:rsid w:val="006B6F4D"/>
    <w:rsid w:val="006C08B4"/>
    <w:rsid w:val="006C122E"/>
    <w:rsid w:val="006C1A41"/>
    <w:rsid w:val="006C1BA0"/>
    <w:rsid w:val="006C1D09"/>
    <w:rsid w:val="006C1D64"/>
    <w:rsid w:val="006C1F51"/>
    <w:rsid w:val="006C1FEF"/>
    <w:rsid w:val="006C247C"/>
    <w:rsid w:val="006C3899"/>
    <w:rsid w:val="006C3A12"/>
    <w:rsid w:val="006C5FBE"/>
    <w:rsid w:val="006C6024"/>
    <w:rsid w:val="006C643E"/>
    <w:rsid w:val="006C6E7B"/>
    <w:rsid w:val="006C74FE"/>
    <w:rsid w:val="006C7867"/>
    <w:rsid w:val="006D0226"/>
    <w:rsid w:val="006D0B81"/>
    <w:rsid w:val="006D1744"/>
    <w:rsid w:val="006D41E8"/>
    <w:rsid w:val="006D5DA1"/>
    <w:rsid w:val="006D69CC"/>
    <w:rsid w:val="006D6DE3"/>
    <w:rsid w:val="006D77AA"/>
    <w:rsid w:val="006D7F54"/>
    <w:rsid w:val="006E08FA"/>
    <w:rsid w:val="006E0AA0"/>
    <w:rsid w:val="006E0CB6"/>
    <w:rsid w:val="006E1836"/>
    <w:rsid w:val="006E1881"/>
    <w:rsid w:val="006E227A"/>
    <w:rsid w:val="006E26CD"/>
    <w:rsid w:val="006E4200"/>
    <w:rsid w:val="006E4316"/>
    <w:rsid w:val="006E5FF8"/>
    <w:rsid w:val="006E67B0"/>
    <w:rsid w:val="006E69BD"/>
    <w:rsid w:val="006E6DA1"/>
    <w:rsid w:val="006E7135"/>
    <w:rsid w:val="006E7650"/>
    <w:rsid w:val="006F3DCA"/>
    <w:rsid w:val="006F5A79"/>
    <w:rsid w:val="006F600D"/>
    <w:rsid w:val="006F682C"/>
    <w:rsid w:val="006F7048"/>
    <w:rsid w:val="006F7C1D"/>
    <w:rsid w:val="0070057A"/>
    <w:rsid w:val="00702484"/>
    <w:rsid w:val="007029D0"/>
    <w:rsid w:val="00703C9C"/>
    <w:rsid w:val="00703EDF"/>
    <w:rsid w:val="00704303"/>
    <w:rsid w:val="00707705"/>
    <w:rsid w:val="00710199"/>
    <w:rsid w:val="007106FF"/>
    <w:rsid w:val="00710D56"/>
    <w:rsid w:val="0071116B"/>
    <w:rsid w:val="00712CAF"/>
    <w:rsid w:val="007135BB"/>
    <w:rsid w:val="0071409C"/>
    <w:rsid w:val="0071426B"/>
    <w:rsid w:val="007175BA"/>
    <w:rsid w:val="00720629"/>
    <w:rsid w:val="00721186"/>
    <w:rsid w:val="00721483"/>
    <w:rsid w:val="00721BF0"/>
    <w:rsid w:val="00722FFF"/>
    <w:rsid w:val="00723939"/>
    <w:rsid w:val="00727697"/>
    <w:rsid w:val="00727986"/>
    <w:rsid w:val="0073161B"/>
    <w:rsid w:val="00731F81"/>
    <w:rsid w:val="00733553"/>
    <w:rsid w:val="007360F5"/>
    <w:rsid w:val="00736AFB"/>
    <w:rsid w:val="007424F5"/>
    <w:rsid w:val="0074283A"/>
    <w:rsid w:val="00742EFB"/>
    <w:rsid w:val="00743EF3"/>
    <w:rsid w:val="00744A84"/>
    <w:rsid w:val="0074597E"/>
    <w:rsid w:val="00746BC5"/>
    <w:rsid w:val="00746E3C"/>
    <w:rsid w:val="00747375"/>
    <w:rsid w:val="0074791D"/>
    <w:rsid w:val="00747CEA"/>
    <w:rsid w:val="0075034C"/>
    <w:rsid w:val="00750A82"/>
    <w:rsid w:val="00751049"/>
    <w:rsid w:val="007528B9"/>
    <w:rsid w:val="00752D08"/>
    <w:rsid w:val="0075367C"/>
    <w:rsid w:val="00754B9A"/>
    <w:rsid w:val="00754BF6"/>
    <w:rsid w:val="007565B3"/>
    <w:rsid w:val="0075701C"/>
    <w:rsid w:val="00757EF7"/>
    <w:rsid w:val="00760E84"/>
    <w:rsid w:val="0076123A"/>
    <w:rsid w:val="00761358"/>
    <w:rsid w:val="00761DBC"/>
    <w:rsid w:val="007629BA"/>
    <w:rsid w:val="00762D31"/>
    <w:rsid w:val="00763215"/>
    <w:rsid w:val="007647E9"/>
    <w:rsid w:val="00764828"/>
    <w:rsid w:val="0076512D"/>
    <w:rsid w:val="00766226"/>
    <w:rsid w:val="007667A2"/>
    <w:rsid w:val="00766DBA"/>
    <w:rsid w:val="00767FAC"/>
    <w:rsid w:val="0077096E"/>
    <w:rsid w:val="00770D03"/>
    <w:rsid w:val="00771A5C"/>
    <w:rsid w:val="007722D9"/>
    <w:rsid w:val="0077298F"/>
    <w:rsid w:val="00772B72"/>
    <w:rsid w:val="00773164"/>
    <w:rsid w:val="0077339B"/>
    <w:rsid w:val="007746E6"/>
    <w:rsid w:val="00774992"/>
    <w:rsid w:val="00776194"/>
    <w:rsid w:val="00776A71"/>
    <w:rsid w:val="007779DD"/>
    <w:rsid w:val="00777DF6"/>
    <w:rsid w:val="00780DC8"/>
    <w:rsid w:val="00780F5A"/>
    <w:rsid w:val="0078137D"/>
    <w:rsid w:val="00781D7C"/>
    <w:rsid w:val="00781D97"/>
    <w:rsid w:val="00781F20"/>
    <w:rsid w:val="00782610"/>
    <w:rsid w:val="00782868"/>
    <w:rsid w:val="00783520"/>
    <w:rsid w:val="0078565B"/>
    <w:rsid w:val="0078567C"/>
    <w:rsid w:val="00785A6F"/>
    <w:rsid w:val="00785ED7"/>
    <w:rsid w:val="00786109"/>
    <w:rsid w:val="00786FEC"/>
    <w:rsid w:val="0078712D"/>
    <w:rsid w:val="007875EE"/>
    <w:rsid w:val="00790BCC"/>
    <w:rsid w:val="00790F10"/>
    <w:rsid w:val="007922AF"/>
    <w:rsid w:val="00792C24"/>
    <w:rsid w:val="00793292"/>
    <w:rsid w:val="00793515"/>
    <w:rsid w:val="00793F9A"/>
    <w:rsid w:val="007940E7"/>
    <w:rsid w:val="007959AA"/>
    <w:rsid w:val="00796635"/>
    <w:rsid w:val="007976C0"/>
    <w:rsid w:val="00797FBD"/>
    <w:rsid w:val="007A057B"/>
    <w:rsid w:val="007A099F"/>
    <w:rsid w:val="007A0B94"/>
    <w:rsid w:val="007A1B03"/>
    <w:rsid w:val="007A2591"/>
    <w:rsid w:val="007A2B1C"/>
    <w:rsid w:val="007A4DF0"/>
    <w:rsid w:val="007A524A"/>
    <w:rsid w:val="007A5DD9"/>
    <w:rsid w:val="007A6E28"/>
    <w:rsid w:val="007A726E"/>
    <w:rsid w:val="007A7CC3"/>
    <w:rsid w:val="007A7CDE"/>
    <w:rsid w:val="007B1888"/>
    <w:rsid w:val="007B18AB"/>
    <w:rsid w:val="007B268F"/>
    <w:rsid w:val="007B27A5"/>
    <w:rsid w:val="007B2D79"/>
    <w:rsid w:val="007B2E2E"/>
    <w:rsid w:val="007B4B66"/>
    <w:rsid w:val="007B4D19"/>
    <w:rsid w:val="007B4D40"/>
    <w:rsid w:val="007B50EC"/>
    <w:rsid w:val="007B5BE1"/>
    <w:rsid w:val="007B6097"/>
    <w:rsid w:val="007B634E"/>
    <w:rsid w:val="007B63AE"/>
    <w:rsid w:val="007B6974"/>
    <w:rsid w:val="007B7D28"/>
    <w:rsid w:val="007C086F"/>
    <w:rsid w:val="007C21CF"/>
    <w:rsid w:val="007C34CE"/>
    <w:rsid w:val="007C3D0E"/>
    <w:rsid w:val="007C4892"/>
    <w:rsid w:val="007C50C2"/>
    <w:rsid w:val="007C7243"/>
    <w:rsid w:val="007D10A7"/>
    <w:rsid w:val="007D2AC2"/>
    <w:rsid w:val="007D42A0"/>
    <w:rsid w:val="007D4E9E"/>
    <w:rsid w:val="007D5A42"/>
    <w:rsid w:val="007D5B4C"/>
    <w:rsid w:val="007D61DB"/>
    <w:rsid w:val="007D71FE"/>
    <w:rsid w:val="007E0682"/>
    <w:rsid w:val="007E0A76"/>
    <w:rsid w:val="007E1CCA"/>
    <w:rsid w:val="007E2C2F"/>
    <w:rsid w:val="007E2E3C"/>
    <w:rsid w:val="007E303A"/>
    <w:rsid w:val="007E39CA"/>
    <w:rsid w:val="007E4976"/>
    <w:rsid w:val="007E5B66"/>
    <w:rsid w:val="007E63C2"/>
    <w:rsid w:val="007E71D2"/>
    <w:rsid w:val="007F05D0"/>
    <w:rsid w:val="007F1075"/>
    <w:rsid w:val="007F139A"/>
    <w:rsid w:val="007F1586"/>
    <w:rsid w:val="007F1712"/>
    <w:rsid w:val="007F1C5D"/>
    <w:rsid w:val="007F1DFE"/>
    <w:rsid w:val="007F2E8E"/>
    <w:rsid w:val="007F32F8"/>
    <w:rsid w:val="007F3B76"/>
    <w:rsid w:val="007F4298"/>
    <w:rsid w:val="007F4C6A"/>
    <w:rsid w:val="007F4D17"/>
    <w:rsid w:val="007F4DCD"/>
    <w:rsid w:val="007F5055"/>
    <w:rsid w:val="007F5B83"/>
    <w:rsid w:val="007F6C96"/>
    <w:rsid w:val="007F6ECF"/>
    <w:rsid w:val="007F700C"/>
    <w:rsid w:val="007F738A"/>
    <w:rsid w:val="007F7E2A"/>
    <w:rsid w:val="0080122E"/>
    <w:rsid w:val="00801CF8"/>
    <w:rsid w:val="00801F86"/>
    <w:rsid w:val="008032A8"/>
    <w:rsid w:val="00803661"/>
    <w:rsid w:val="008039B8"/>
    <w:rsid w:val="00804590"/>
    <w:rsid w:val="0080688D"/>
    <w:rsid w:val="00807B02"/>
    <w:rsid w:val="00810893"/>
    <w:rsid w:val="00810EB1"/>
    <w:rsid w:val="00811790"/>
    <w:rsid w:val="008120E4"/>
    <w:rsid w:val="008123E3"/>
    <w:rsid w:val="0081273E"/>
    <w:rsid w:val="00813742"/>
    <w:rsid w:val="00814017"/>
    <w:rsid w:val="008150F9"/>
    <w:rsid w:val="00815998"/>
    <w:rsid w:val="00815CD4"/>
    <w:rsid w:val="0081627D"/>
    <w:rsid w:val="008166EB"/>
    <w:rsid w:val="00817999"/>
    <w:rsid w:val="00817E16"/>
    <w:rsid w:val="00820265"/>
    <w:rsid w:val="0082172F"/>
    <w:rsid w:val="00821FC4"/>
    <w:rsid w:val="0082360C"/>
    <w:rsid w:val="008241B4"/>
    <w:rsid w:val="00825A49"/>
    <w:rsid w:val="00825ACE"/>
    <w:rsid w:val="00825E79"/>
    <w:rsid w:val="0082639C"/>
    <w:rsid w:val="008266F8"/>
    <w:rsid w:val="008308E2"/>
    <w:rsid w:val="0083189A"/>
    <w:rsid w:val="00831A13"/>
    <w:rsid w:val="00832EE2"/>
    <w:rsid w:val="00834302"/>
    <w:rsid w:val="008367AB"/>
    <w:rsid w:val="00837289"/>
    <w:rsid w:val="00837F6F"/>
    <w:rsid w:val="00840925"/>
    <w:rsid w:val="00840CC8"/>
    <w:rsid w:val="00841023"/>
    <w:rsid w:val="00841194"/>
    <w:rsid w:val="00841B03"/>
    <w:rsid w:val="00841BCE"/>
    <w:rsid w:val="00841C33"/>
    <w:rsid w:val="00841D29"/>
    <w:rsid w:val="00841D33"/>
    <w:rsid w:val="00842212"/>
    <w:rsid w:val="00843306"/>
    <w:rsid w:val="00843723"/>
    <w:rsid w:val="00845BC4"/>
    <w:rsid w:val="008464A1"/>
    <w:rsid w:val="00846D5D"/>
    <w:rsid w:val="00846ED1"/>
    <w:rsid w:val="00846F43"/>
    <w:rsid w:val="00847444"/>
    <w:rsid w:val="0085073B"/>
    <w:rsid w:val="0085149A"/>
    <w:rsid w:val="008521EB"/>
    <w:rsid w:val="00852A6F"/>
    <w:rsid w:val="008535F2"/>
    <w:rsid w:val="008539B3"/>
    <w:rsid w:val="0085407E"/>
    <w:rsid w:val="00854817"/>
    <w:rsid w:val="008556B1"/>
    <w:rsid w:val="0085731F"/>
    <w:rsid w:val="008611AC"/>
    <w:rsid w:val="00861C9E"/>
    <w:rsid w:val="00861F8F"/>
    <w:rsid w:val="00862502"/>
    <w:rsid w:val="008626B2"/>
    <w:rsid w:val="008628D4"/>
    <w:rsid w:val="008630BA"/>
    <w:rsid w:val="00863236"/>
    <w:rsid w:val="00863619"/>
    <w:rsid w:val="00863D7A"/>
    <w:rsid w:val="008648F7"/>
    <w:rsid w:val="00864C4A"/>
    <w:rsid w:val="008652B1"/>
    <w:rsid w:val="0086568B"/>
    <w:rsid w:val="008657E7"/>
    <w:rsid w:val="00865BF2"/>
    <w:rsid w:val="00866245"/>
    <w:rsid w:val="00867840"/>
    <w:rsid w:val="00870482"/>
    <w:rsid w:val="00870509"/>
    <w:rsid w:val="008714AB"/>
    <w:rsid w:val="00871F94"/>
    <w:rsid w:val="00872354"/>
    <w:rsid w:val="00872E13"/>
    <w:rsid w:val="00872F7E"/>
    <w:rsid w:val="008735D5"/>
    <w:rsid w:val="0087360A"/>
    <w:rsid w:val="00875BCF"/>
    <w:rsid w:val="00875D6F"/>
    <w:rsid w:val="00876112"/>
    <w:rsid w:val="00876884"/>
    <w:rsid w:val="00877B67"/>
    <w:rsid w:val="00880692"/>
    <w:rsid w:val="00880C60"/>
    <w:rsid w:val="00882481"/>
    <w:rsid w:val="00882A32"/>
    <w:rsid w:val="00882E72"/>
    <w:rsid w:val="00883BC7"/>
    <w:rsid w:val="00884089"/>
    <w:rsid w:val="00884DAC"/>
    <w:rsid w:val="00885805"/>
    <w:rsid w:val="00885C77"/>
    <w:rsid w:val="00887277"/>
    <w:rsid w:val="008913CA"/>
    <w:rsid w:val="00891DEE"/>
    <w:rsid w:val="00892191"/>
    <w:rsid w:val="00892268"/>
    <w:rsid w:val="00892F7F"/>
    <w:rsid w:val="008939F2"/>
    <w:rsid w:val="00893D73"/>
    <w:rsid w:val="00893E87"/>
    <w:rsid w:val="00894485"/>
    <w:rsid w:val="008960D6"/>
    <w:rsid w:val="00896976"/>
    <w:rsid w:val="00896B61"/>
    <w:rsid w:val="00897B65"/>
    <w:rsid w:val="008A0003"/>
    <w:rsid w:val="008A04B5"/>
    <w:rsid w:val="008A084C"/>
    <w:rsid w:val="008A2421"/>
    <w:rsid w:val="008A245C"/>
    <w:rsid w:val="008A2725"/>
    <w:rsid w:val="008A2863"/>
    <w:rsid w:val="008A28E8"/>
    <w:rsid w:val="008A45CB"/>
    <w:rsid w:val="008A492E"/>
    <w:rsid w:val="008A4F64"/>
    <w:rsid w:val="008A6401"/>
    <w:rsid w:val="008A6989"/>
    <w:rsid w:val="008A7264"/>
    <w:rsid w:val="008B08E7"/>
    <w:rsid w:val="008B16FE"/>
    <w:rsid w:val="008B24A8"/>
    <w:rsid w:val="008B263D"/>
    <w:rsid w:val="008B3F25"/>
    <w:rsid w:val="008B4169"/>
    <w:rsid w:val="008B44F6"/>
    <w:rsid w:val="008B5602"/>
    <w:rsid w:val="008B5B77"/>
    <w:rsid w:val="008B62B9"/>
    <w:rsid w:val="008B63D5"/>
    <w:rsid w:val="008B751B"/>
    <w:rsid w:val="008C049D"/>
    <w:rsid w:val="008C0ACF"/>
    <w:rsid w:val="008C1361"/>
    <w:rsid w:val="008C2455"/>
    <w:rsid w:val="008C25C9"/>
    <w:rsid w:val="008C267F"/>
    <w:rsid w:val="008C2B90"/>
    <w:rsid w:val="008C4540"/>
    <w:rsid w:val="008C5693"/>
    <w:rsid w:val="008C5E4D"/>
    <w:rsid w:val="008C60A3"/>
    <w:rsid w:val="008D01D7"/>
    <w:rsid w:val="008D0916"/>
    <w:rsid w:val="008D0E94"/>
    <w:rsid w:val="008D1A7F"/>
    <w:rsid w:val="008D2379"/>
    <w:rsid w:val="008D28D0"/>
    <w:rsid w:val="008D30BE"/>
    <w:rsid w:val="008D40F5"/>
    <w:rsid w:val="008D4440"/>
    <w:rsid w:val="008D48C3"/>
    <w:rsid w:val="008D4A30"/>
    <w:rsid w:val="008D5009"/>
    <w:rsid w:val="008D5A66"/>
    <w:rsid w:val="008D5FC8"/>
    <w:rsid w:val="008D6364"/>
    <w:rsid w:val="008D6D7A"/>
    <w:rsid w:val="008D6FC3"/>
    <w:rsid w:val="008D707B"/>
    <w:rsid w:val="008D7324"/>
    <w:rsid w:val="008E1118"/>
    <w:rsid w:val="008E124C"/>
    <w:rsid w:val="008E20C5"/>
    <w:rsid w:val="008E2791"/>
    <w:rsid w:val="008E2853"/>
    <w:rsid w:val="008E34B1"/>
    <w:rsid w:val="008E4C92"/>
    <w:rsid w:val="008E59DF"/>
    <w:rsid w:val="008E75FB"/>
    <w:rsid w:val="008F07A5"/>
    <w:rsid w:val="008F35FF"/>
    <w:rsid w:val="008F3E35"/>
    <w:rsid w:val="008F4292"/>
    <w:rsid w:val="008F4608"/>
    <w:rsid w:val="008F4D3A"/>
    <w:rsid w:val="008F64B2"/>
    <w:rsid w:val="008F6747"/>
    <w:rsid w:val="008F6A07"/>
    <w:rsid w:val="009000F5"/>
    <w:rsid w:val="009004B9"/>
    <w:rsid w:val="00900CB3"/>
    <w:rsid w:val="00901039"/>
    <w:rsid w:val="0090119C"/>
    <w:rsid w:val="00901803"/>
    <w:rsid w:val="0090207B"/>
    <w:rsid w:val="00902EE6"/>
    <w:rsid w:val="00903AA4"/>
    <w:rsid w:val="00904537"/>
    <w:rsid w:val="0090540B"/>
    <w:rsid w:val="00905D53"/>
    <w:rsid w:val="009062BA"/>
    <w:rsid w:val="00906481"/>
    <w:rsid w:val="0091074A"/>
    <w:rsid w:val="00910830"/>
    <w:rsid w:val="00910C56"/>
    <w:rsid w:val="0091181D"/>
    <w:rsid w:val="00911B61"/>
    <w:rsid w:val="00912F6C"/>
    <w:rsid w:val="00914301"/>
    <w:rsid w:val="009145D2"/>
    <w:rsid w:val="009167E0"/>
    <w:rsid w:val="00916AA5"/>
    <w:rsid w:val="00916D27"/>
    <w:rsid w:val="00917168"/>
    <w:rsid w:val="0091768E"/>
    <w:rsid w:val="009176DF"/>
    <w:rsid w:val="009200EB"/>
    <w:rsid w:val="0092034F"/>
    <w:rsid w:val="009204B5"/>
    <w:rsid w:val="00921A47"/>
    <w:rsid w:val="00922B98"/>
    <w:rsid w:val="00923AFF"/>
    <w:rsid w:val="00924BAE"/>
    <w:rsid w:val="00925E3A"/>
    <w:rsid w:val="00925E5B"/>
    <w:rsid w:val="00926007"/>
    <w:rsid w:val="00926687"/>
    <w:rsid w:val="00927A5A"/>
    <w:rsid w:val="00930404"/>
    <w:rsid w:val="00930819"/>
    <w:rsid w:val="00930992"/>
    <w:rsid w:val="00930AF4"/>
    <w:rsid w:val="00930EBA"/>
    <w:rsid w:val="00930EEE"/>
    <w:rsid w:val="009316B4"/>
    <w:rsid w:val="00931CFE"/>
    <w:rsid w:val="0093228F"/>
    <w:rsid w:val="00932C4E"/>
    <w:rsid w:val="00932DAC"/>
    <w:rsid w:val="00933ACA"/>
    <w:rsid w:val="009342AE"/>
    <w:rsid w:val="00935749"/>
    <w:rsid w:val="00935ED1"/>
    <w:rsid w:val="00936B61"/>
    <w:rsid w:val="00936BFC"/>
    <w:rsid w:val="009375DE"/>
    <w:rsid w:val="009407A7"/>
    <w:rsid w:val="009409DD"/>
    <w:rsid w:val="00941EE9"/>
    <w:rsid w:val="00943216"/>
    <w:rsid w:val="009436AC"/>
    <w:rsid w:val="00944CC0"/>
    <w:rsid w:val="00945187"/>
    <w:rsid w:val="009456B4"/>
    <w:rsid w:val="00946229"/>
    <w:rsid w:val="009467DD"/>
    <w:rsid w:val="00946928"/>
    <w:rsid w:val="00951233"/>
    <w:rsid w:val="00952875"/>
    <w:rsid w:val="00952FFC"/>
    <w:rsid w:val="009539DC"/>
    <w:rsid w:val="00954D0F"/>
    <w:rsid w:val="00955833"/>
    <w:rsid w:val="00955F06"/>
    <w:rsid w:val="009564C3"/>
    <w:rsid w:val="00956A23"/>
    <w:rsid w:val="0095764F"/>
    <w:rsid w:val="009577B3"/>
    <w:rsid w:val="0096011C"/>
    <w:rsid w:val="00960CD7"/>
    <w:rsid w:val="009611E1"/>
    <w:rsid w:val="00961B6F"/>
    <w:rsid w:val="00961E0F"/>
    <w:rsid w:val="009620D1"/>
    <w:rsid w:val="009630AF"/>
    <w:rsid w:val="009632C9"/>
    <w:rsid w:val="00964433"/>
    <w:rsid w:val="00964C8A"/>
    <w:rsid w:val="00965627"/>
    <w:rsid w:val="00970C39"/>
    <w:rsid w:val="009718B2"/>
    <w:rsid w:val="00972789"/>
    <w:rsid w:val="009729B6"/>
    <w:rsid w:val="00973E0C"/>
    <w:rsid w:val="0097408D"/>
    <w:rsid w:val="0097420F"/>
    <w:rsid w:val="0097565D"/>
    <w:rsid w:val="00975B02"/>
    <w:rsid w:val="00975E69"/>
    <w:rsid w:val="00975F31"/>
    <w:rsid w:val="00976CD5"/>
    <w:rsid w:val="00980863"/>
    <w:rsid w:val="009814A9"/>
    <w:rsid w:val="009822FB"/>
    <w:rsid w:val="00982E37"/>
    <w:rsid w:val="009835D3"/>
    <w:rsid w:val="00984226"/>
    <w:rsid w:val="009842BA"/>
    <w:rsid w:val="00985454"/>
    <w:rsid w:val="009857CB"/>
    <w:rsid w:val="00985C28"/>
    <w:rsid w:val="00986813"/>
    <w:rsid w:val="00986817"/>
    <w:rsid w:val="0098684F"/>
    <w:rsid w:val="009900A3"/>
    <w:rsid w:val="009911AA"/>
    <w:rsid w:val="009912B0"/>
    <w:rsid w:val="0099137D"/>
    <w:rsid w:val="00991B82"/>
    <w:rsid w:val="00992271"/>
    <w:rsid w:val="009930D8"/>
    <w:rsid w:val="00993329"/>
    <w:rsid w:val="00993386"/>
    <w:rsid w:val="00993C50"/>
    <w:rsid w:val="009949DD"/>
    <w:rsid w:val="00994B9E"/>
    <w:rsid w:val="00994F8A"/>
    <w:rsid w:val="0099508A"/>
    <w:rsid w:val="00996DED"/>
    <w:rsid w:val="00997354"/>
    <w:rsid w:val="009A03CE"/>
    <w:rsid w:val="009A05D5"/>
    <w:rsid w:val="009A0F97"/>
    <w:rsid w:val="009A0FB5"/>
    <w:rsid w:val="009A1985"/>
    <w:rsid w:val="009A29E6"/>
    <w:rsid w:val="009A2CB8"/>
    <w:rsid w:val="009A2CCC"/>
    <w:rsid w:val="009A3904"/>
    <w:rsid w:val="009A3E6D"/>
    <w:rsid w:val="009A4004"/>
    <w:rsid w:val="009A55D7"/>
    <w:rsid w:val="009A5F0A"/>
    <w:rsid w:val="009A71D4"/>
    <w:rsid w:val="009A7232"/>
    <w:rsid w:val="009A7E03"/>
    <w:rsid w:val="009B17F4"/>
    <w:rsid w:val="009B1934"/>
    <w:rsid w:val="009B1ED1"/>
    <w:rsid w:val="009B1FEB"/>
    <w:rsid w:val="009B2E43"/>
    <w:rsid w:val="009B3696"/>
    <w:rsid w:val="009B4658"/>
    <w:rsid w:val="009B5485"/>
    <w:rsid w:val="009B6058"/>
    <w:rsid w:val="009B7047"/>
    <w:rsid w:val="009B7761"/>
    <w:rsid w:val="009C088A"/>
    <w:rsid w:val="009C1CCB"/>
    <w:rsid w:val="009C22D1"/>
    <w:rsid w:val="009C2AAD"/>
    <w:rsid w:val="009C331C"/>
    <w:rsid w:val="009C3E29"/>
    <w:rsid w:val="009C50C7"/>
    <w:rsid w:val="009C56DD"/>
    <w:rsid w:val="009C6745"/>
    <w:rsid w:val="009C68A6"/>
    <w:rsid w:val="009C6B66"/>
    <w:rsid w:val="009C6B8E"/>
    <w:rsid w:val="009D0198"/>
    <w:rsid w:val="009D055F"/>
    <w:rsid w:val="009D09B3"/>
    <w:rsid w:val="009D13FF"/>
    <w:rsid w:val="009D18B7"/>
    <w:rsid w:val="009D1DC3"/>
    <w:rsid w:val="009D21B9"/>
    <w:rsid w:val="009D2E97"/>
    <w:rsid w:val="009D2EA2"/>
    <w:rsid w:val="009D2EC4"/>
    <w:rsid w:val="009D2F6E"/>
    <w:rsid w:val="009D3F79"/>
    <w:rsid w:val="009D49DE"/>
    <w:rsid w:val="009D64CD"/>
    <w:rsid w:val="009D663B"/>
    <w:rsid w:val="009D6A57"/>
    <w:rsid w:val="009D7028"/>
    <w:rsid w:val="009E0BCB"/>
    <w:rsid w:val="009E0D21"/>
    <w:rsid w:val="009E13C2"/>
    <w:rsid w:val="009E1E61"/>
    <w:rsid w:val="009E2312"/>
    <w:rsid w:val="009E3301"/>
    <w:rsid w:val="009E3588"/>
    <w:rsid w:val="009E38BA"/>
    <w:rsid w:val="009E3C2C"/>
    <w:rsid w:val="009E3FC6"/>
    <w:rsid w:val="009E46DB"/>
    <w:rsid w:val="009E5093"/>
    <w:rsid w:val="009E51A1"/>
    <w:rsid w:val="009E6E61"/>
    <w:rsid w:val="009E78BD"/>
    <w:rsid w:val="009F04A1"/>
    <w:rsid w:val="009F05B2"/>
    <w:rsid w:val="009F0677"/>
    <w:rsid w:val="009F06C7"/>
    <w:rsid w:val="009F0F54"/>
    <w:rsid w:val="009F2EE2"/>
    <w:rsid w:val="009F2FD4"/>
    <w:rsid w:val="009F3379"/>
    <w:rsid w:val="009F45BF"/>
    <w:rsid w:val="009F4739"/>
    <w:rsid w:val="009F7C07"/>
    <w:rsid w:val="00A00310"/>
    <w:rsid w:val="00A00BC4"/>
    <w:rsid w:val="00A00CBA"/>
    <w:rsid w:val="00A00E69"/>
    <w:rsid w:val="00A01821"/>
    <w:rsid w:val="00A01A39"/>
    <w:rsid w:val="00A06532"/>
    <w:rsid w:val="00A0667B"/>
    <w:rsid w:val="00A067CE"/>
    <w:rsid w:val="00A07FEE"/>
    <w:rsid w:val="00A10AC8"/>
    <w:rsid w:val="00A10E39"/>
    <w:rsid w:val="00A1234E"/>
    <w:rsid w:val="00A153AB"/>
    <w:rsid w:val="00A17AC2"/>
    <w:rsid w:val="00A20874"/>
    <w:rsid w:val="00A208E0"/>
    <w:rsid w:val="00A20C65"/>
    <w:rsid w:val="00A21527"/>
    <w:rsid w:val="00A21CCD"/>
    <w:rsid w:val="00A22800"/>
    <w:rsid w:val="00A246C2"/>
    <w:rsid w:val="00A24C5B"/>
    <w:rsid w:val="00A25636"/>
    <w:rsid w:val="00A27B48"/>
    <w:rsid w:val="00A27C1F"/>
    <w:rsid w:val="00A27D70"/>
    <w:rsid w:val="00A3065E"/>
    <w:rsid w:val="00A315A7"/>
    <w:rsid w:val="00A31CD6"/>
    <w:rsid w:val="00A31FCB"/>
    <w:rsid w:val="00A3210E"/>
    <w:rsid w:val="00A321E4"/>
    <w:rsid w:val="00A33490"/>
    <w:rsid w:val="00A33884"/>
    <w:rsid w:val="00A33D09"/>
    <w:rsid w:val="00A34032"/>
    <w:rsid w:val="00A355D7"/>
    <w:rsid w:val="00A35C54"/>
    <w:rsid w:val="00A36361"/>
    <w:rsid w:val="00A37350"/>
    <w:rsid w:val="00A377F7"/>
    <w:rsid w:val="00A406CD"/>
    <w:rsid w:val="00A40894"/>
    <w:rsid w:val="00A409F1"/>
    <w:rsid w:val="00A40D59"/>
    <w:rsid w:val="00A41EB7"/>
    <w:rsid w:val="00A421F0"/>
    <w:rsid w:val="00A421FB"/>
    <w:rsid w:val="00A4233C"/>
    <w:rsid w:val="00A424E5"/>
    <w:rsid w:val="00A430A4"/>
    <w:rsid w:val="00A432EF"/>
    <w:rsid w:val="00A43748"/>
    <w:rsid w:val="00A43B12"/>
    <w:rsid w:val="00A43F40"/>
    <w:rsid w:val="00A449DD"/>
    <w:rsid w:val="00A44AC6"/>
    <w:rsid w:val="00A44E1B"/>
    <w:rsid w:val="00A44E1E"/>
    <w:rsid w:val="00A4532E"/>
    <w:rsid w:val="00A45473"/>
    <w:rsid w:val="00A4566B"/>
    <w:rsid w:val="00A45FAB"/>
    <w:rsid w:val="00A47936"/>
    <w:rsid w:val="00A5094D"/>
    <w:rsid w:val="00A50E64"/>
    <w:rsid w:val="00A5125D"/>
    <w:rsid w:val="00A515BA"/>
    <w:rsid w:val="00A51A0C"/>
    <w:rsid w:val="00A52F29"/>
    <w:rsid w:val="00A5378D"/>
    <w:rsid w:val="00A53D1E"/>
    <w:rsid w:val="00A5416E"/>
    <w:rsid w:val="00A542A4"/>
    <w:rsid w:val="00A54344"/>
    <w:rsid w:val="00A544D7"/>
    <w:rsid w:val="00A54C53"/>
    <w:rsid w:val="00A5505D"/>
    <w:rsid w:val="00A5543F"/>
    <w:rsid w:val="00A55665"/>
    <w:rsid w:val="00A55CF6"/>
    <w:rsid w:val="00A57103"/>
    <w:rsid w:val="00A57233"/>
    <w:rsid w:val="00A573D6"/>
    <w:rsid w:val="00A57861"/>
    <w:rsid w:val="00A625BA"/>
    <w:rsid w:val="00A64707"/>
    <w:rsid w:val="00A651A9"/>
    <w:rsid w:val="00A66258"/>
    <w:rsid w:val="00A66395"/>
    <w:rsid w:val="00A673DE"/>
    <w:rsid w:val="00A701E4"/>
    <w:rsid w:val="00A70617"/>
    <w:rsid w:val="00A7068C"/>
    <w:rsid w:val="00A70DA0"/>
    <w:rsid w:val="00A71563"/>
    <w:rsid w:val="00A716CC"/>
    <w:rsid w:val="00A723E8"/>
    <w:rsid w:val="00A72B0F"/>
    <w:rsid w:val="00A72E39"/>
    <w:rsid w:val="00A736CC"/>
    <w:rsid w:val="00A74CF3"/>
    <w:rsid w:val="00A754AA"/>
    <w:rsid w:val="00A77A15"/>
    <w:rsid w:val="00A8046F"/>
    <w:rsid w:val="00A80B9F"/>
    <w:rsid w:val="00A80C19"/>
    <w:rsid w:val="00A813CF"/>
    <w:rsid w:val="00A81617"/>
    <w:rsid w:val="00A81A9E"/>
    <w:rsid w:val="00A8207E"/>
    <w:rsid w:val="00A83562"/>
    <w:rsid w:val="00A83936"/>
    <w:rsid w:val="00A8462E"/>
    <w:rsid w:val="00A8547A"/>
    <w:rsid w:val="00A85A8D"/>
    <w:rsid w:val="00A86CB9"/>
    <w:rsid w:val="00A87BB3"/>
    <w:rsid w:val="00A9018A"/>
    <w:rsid w:val="00A904A9"/>
    <w:rsid w:val="00A91103"/>
    <w:rsid w:val="00A919DD"/>
    <w:rsid w:val="00A9208B"/>
    <w:rsid w:val="00A92131"/>
    <w:rsid w:val="00A92A9B"/>
    <w:rsid w:val="00A94A60"/>
    <w:rsid w:val="00A94AAA"/>
    <w:rsid w:val="00A94C3A"/>
    <w:rsid w:val="00A954CC"/>
    <w:rsid w:val="00A96DEB"/>
    <w:rsid w:val="00A97650"/>
    <w:rsid w:val="00AA2696"/>
    <w:rsid w:val="00AA2F20"/>
    <w:rsid w:val="00AA335C"/>
    <w:rsid w:val="00AA4227"/>
    <w:rsid w:val="00AA4517"/>
    <w:rsid w:val="00AA49B9"/>
    <w:rsid w:val="00AA5052"/>
    <w:rsid w:val="00AA51C3"/>
    <w:rsid w:val="00AA52D0"/>
    <w:rsid w:val="00AA5458"/>
    <w:rsid w:val="00AA59C8"/>
    <w:rsid w:val="00AA5C9C"/>
    <w:rsid w:val="00AA70ED"/>
    <w:rsid w:val="00AB078A"/>
    <w:rsid w:val="00AB07A9"/>
    <w:rsid w:val="00AB0A19"/>
    <w:rsid w:val="00AB0AAA"/>
    <w:rsid w:val="00AB26AB"/>
    <w:rsid w:val="00AB282B"/>
    <w:rsid w:val="00AB3951"/>
    <w:rsid w:val="00AB4CCF"/>
    <w:rsid w:val="00AB5D54"/>
    <w:rsid w:val="00AB611F"/>
    <w:rsid w:val="00AB727B"/>
    <w:rsid w:val="00AC04A2"/>
    <w:rsid w:val="00AC0A6C"/>
    <w:rsid w:val="00AC23FF"/>
    <w:rsid w:val="00AC2A4A"/>
    <w:rsid w:val="00AC2A95"/>
    <w:rsid w:val="00AC4646"/>
    <w:rsid w:val="00AC4B20"/>
    <w:rsid w:val="00AC67B2"/>
    <w:rsid w:val="00AC71F4"/>
    <w:rsid w:val="00AD0709"/>
    <w:rsid w:val="00AD098E"/>
    <w:rsid w:val="00AD09E4"/>
    <w:rsid w:val="00AD1151"/>
    <w:rsid w:val="00AD181D"/>
    <w:rsid w:val="00AD1846"/>
    <w:rsid w:val="00AD3523"/>
    <w:rsid w:val="00AD35A0"/>
    <w:rsid w:val="00AD3D38"/>
    <w:rsid w:val="00AD3EE1"/>
    <w:rsid w:val="00AD57F5"/>
    <w:rsid w:val="00AD5D67"/>
    <w:rsid w:val="00AD636B"/>
    <w:rsid w:val="00AD6441"/>
    <w:rsid w:val="00AD7279"/>
    <w:rsid w:val="00AD7931"/>
    <w:rsid w:val="00AD7E60"/>
    <w:rsid w:val="00AE063F"/>
    <w:rsid w:val="00AE0B7D"/>
    <w:rsid w:val="00AE143B"/>
    <w:rsid w:val="00AE5494"/>
    <w:rsid w:val="00AE598E"/>
    <w:rsid w:val="00AE6361"/>
    <w:rsid w:val="00AE7F33"/>
    <w:rsid w:val="00AF024A"/>
    <w:rsid w:val="00AF0578"/>
    <w:rsid w:val="00AF06D5"/>
    <w:rsid w:val="00AF0ADC"/>
    <w:rsid w:val="00AF10A4"/>
    <w:rsid w:val="00AF3C62"/>
    <w:rsid w:val="00AF3E4D"/>
    <w:rsid w:val="00AF4D5A"/>
    <w:rsid w:val="00AF4E85"/>
    <w:rsid w:val="00AF6CB7"/>
    <w:rsid w:val="00AF6FFF"/>
    <w:rsid w:val="00AF7830"/>
    <w:rsid w:val="00B0127C"/>
    <w:rsid w:val="00B01517"/>
    <w:rsid w:val="00B0263B"/>
    <w:rsid w:val="00B02FDA"/>
    <w:rsid w:val="00B030EC"/>
    <w:rsid w:val="00B048BB"/>
    <w:rsid w:val="00B05F3D"/>
    <w:rsid w:val="00B06BD7"/>
    <w:rsid w:val="00B111B8"/>
    <w:rsid w:val="00B11504"/>
    <w:rsid w:val="00B116DE"/>
    <w:rsid w:val="00B118C3"/>
    <w:rsid w:val="00B11CBB"/>
    <w:rsid w:val="00B1257A"/>
    <w:rsid w:val="00B12AF1"/>
    <w:rsid w:val="00B13950"/>
    <w:rsid w:val="00B1408F"/>
    <w:rsid w:val="00B14E50"/>
    <w:rsid w:val="00B15FAF"/>
    <w:rsid w:val="00B1672F"/>
    <w:rsid w:val="00B173BB"/>
    <w:rsid w:val="00B17888"/>
    <w:rsid w:val="00B17A48"/>
    <w:rsid w:val="00B2115D"/>
    <w:rsid w:val="00B21A1E"/>
    <w:rsid w:val="00B21A79"/>
    <w:rsid w:val="00B21E2D"/>
    <w:rsid w:val="00B22F4C"/>
    <w:rsid w:val="00B237CD"/>
    <w:rsid w:val="00B2473C"/>
    <w:rsid w:val="00B26764"/>
    <w:rsid w:val="00B26C6B"/>
    <w:rsid w:val="00B277E4"/>
    <w:rsid w:val="00B27C17"/>
    <w:rsid w:val="00B31495"/>
    <w:rsid w:val="00B320E5"/>
    <w:rsid w:val="00B32127"/>
    <w:rsid w:val="00B326EC"/>
    <w:rsid w:val="00B32877"/>
    <w:rsid w:val="00B32D2F"/>
    <w:rsid w:val="00B33349"/>
    <w:rsid w:val="00B3412F"/>
    <w:rsid w:val="00B35A1A"/>
    <w:rsid w:val="00B36DAB"/>
    <w:rsid w:val="00B37972"/>
    <w:rsid w:val="00B3799F"/>
    <w:rsid w:val="00B37E80"/>
    <w:rsid w:val="00B40716"/>
    <w:rsid w:val="00B40D61"/>
    <w:rsid w:val="00B42040"/>
    <w:rsid w:val="00B42D93"/>
    <w:rsid w:val="00B432C6"/>
    <w:rsid w:val="00B43DF2"/>
    <w:rsid w:val="00B44353"/>
    <w:rsid w:val="00B448BB"/>
    <w:rsid w:val="00B44BBF"/>
    <w:rsid w:val="00B44D0A"/>
    <w:rsid w:val="00B451D8"/>
    <w:rsid w:val="00B46D6A"/>
    <w:rsid w:val="00B47902"/>
    <w:rsid w:val="00B50D3D"/>
    <w:rsid w:val="00B51BD3"/>
    <w:rsid w:val="00B52411"/>
    <w:rsid w:val="00B52FAE"/>
    <w:rsid w:val="00B535CE"/>
    <w:rsid w:val="00B550D3"/>
    <w:rsid w:val="00B55C87"/>
    <w:rsid w:val="00B56BE8"/>
    <w:rsid w:val="00B576F7"/>
    <w:rsid w:val="00B6047D"/>
    <w:rsid w:val="00B6137D"/>
    <w:rsid w:val="00B61C75"/>
    <w:rsid w:val="00B62805"/>
    <w:rsid w:val="00B63227"/>
    <w:rsid w:val="00B63743"/>
    <w:rsid w:val="00B641EC"/>
    <w:rsid w:val="00B642E4"/>
    <w:rsid w:val="00B64789"/>
    <w:rsid w:val="00B653AC"/>
    <w:rsid w:val="00B658A2"/>
    <w:rsid w:val="00B67238"/>
    <w:rsid w:val="00B6763C"/>
    <w:rsid w:val="00B67A76"/>
    <w:rsid w:val="00B71E18"/>
    <w:rsid w:val="00B720D1"/>
    <w:rsid w:val="00B72585"/>
    <w:rsid w:val="00B725E8"/>
    <w:rsid w:val="00B732D3"/>
    <w:rsid w:val="00B734A5"/>
    <w:rsid w:val="00B7444D"/>
    <w:rsid w:val="00B7635B"/>
    <w:rsid w:val="00B7715E"/>
    <w:rsid w:val="00B80C0F"/>
    <w:rsid w:val="00B812A7"/>
    <w:rsid w:val="00B81ED4"/>
    <w:rsid w:val="00B821F2"/>
    <w:rsid w:val="00B83866"/>
    <w:rsid w:val="00B8401D"/>
    <w:rsid w:val="00B850CD"/>
    <w:rsid w:val="00B854CF"/>
    <w:rsid w:val="00B85BA1"/>
    <w:rsid w:val="00B86520"/>
    <w:rsid w:val="00B86B37"/>
    <w:rsid w:val="00B87800"/>
    <w:rsid w:val="00B90540"/>
    <w:rsid w:val="00B91B8F"/>
    <w:rsid w:val="00B923D6"/>
    <w:rsid w:val="00B927A2"/>
    <w:rsid w:val="00B92B59"/>
    <w:rsid w:val="00B94790"/>
    <w:rsid w:val="00B95760"/>
    <w:rsid w:val="00B95D61"/>
    <w:rsid w:val="00BA0C8F"/>
    <w:rsid w:val="00BA112A"/>
    <w:rsid w:val="00BA1266"/>
    <w:rsid w:val="00BA2230"/>
    <w:rsid w:val="00BA239E"/>
    <w:rsid w:val="00BA3E88"/>
    <w:rsid w:val="00BA5456"/>
    <w:rsid w:val="00BA6060"/>
    <w:rsid w:val="00BA7773"/>
    <w:rsid w:val="00BB0596"/>
    <w:rsid w:val="00BB0C09"/>
    <w:rsid w:val="00BB1B5E"/>
    <w:rsid w:val="00BB2A73"/>
    <w:rsid w:val="00BB2DC1"/>
    <w:rsid w:val="00BB394C"/>
    <w:rsid w:val="00BB4877"/>
    <w:rsid w:val="00BB51A9"/>
    <w:rsid w:val="00BB5326"/>
    <w:rsid w:val="00BB7157"/>
    <w:rsid w:val="00BC017E"/>
    <w:rsid w:val="00BC04D2"/>
    <w:rsid w:val="00BC1A68"/>
    <w:rsid w:val="00BC54DA"/>
    <w:rsid w:val="00BC5A9F"/>
    <w:rsid w:val="00BC6BAA"/>
    <w:rsid w:val="00BC6D53"/>
    <w:rsid w:val="00BC7D3B"/>
    <w:rsid w:val="00BD21F8"/>
    <w:rsid w:val="00BD2A3B"/>
    <w:rsid w:val="00BD3230"/>
    <w:rsid w:val="00BD330F"/>
    <w:rsid w:val="00BD41C0"/>
    <w:rsid w:val="00BD4BAA"/>
    <w:rsid w:val="00BD52A9"/>
    <w:rsid w:val="00BD54E5"/>
    <w:rsid w:val="00BD567C"/>
    <w:rsid w:val="00BD5704"/>
    <w:rsid w:val="00BD63EB"/>
    <w:rsid w:val="00BD66F0"/>
    <w:rsid w:val="00BD69D2"/>
    <w:rsid w:val="00BD6CA1"/>
    <w:rsid w:val="00BD73FA"/>
    <w:rsid w:val="00BD7A96"/>
    <w:rsid w:val="00BE0429"/>
    <w:rsid w:val="00BE1BA9"/>
    <w:rsid w:val="00BE31CE"/>
    <w:rsid w:val="00BE43D0"/>
    <w:rsid w:val="00BE497B"/>
    <w:rsid w:val="00BE4C1F"/>
    <w:rsid w:val="00BE56EC"/>
    <w:rsid w:val="00BE6481"/>
    <w:rsid w:val="00BE6C89"/>
    <w:rsid w:val="00BE6FF6"/>
    <w:rsid w:val="00BE7092"/>
    <w:rsid w:val="00BE71EE"/>
    <w:rsid w:val="00BE7E02"/>
    <w:rsid w:val="00BF047B"/>
    <w:rsid w:val="00BF0574"/>
    <w:rsid w:val="00BF0BD2"/>
    <w:rsid w:val="00BF0ECB"/>
    <w:rsid w:val="00BF12A6"/>
    <w:rsid w:val="00BF1771"/>
    <w:rsid w:val="00BF1E9B"/>
    <w:rsid w:val="00BF281E"/>
    <w:rsid w:val="00BF4007"/>
    <w:rsid w:val="00BF6772"/>
    <w:rsid w:val="00BF6B16"/>
    <w:rsid w:val="00BF6B72"/>
    <w:rsid w:val="00BF7438"/>
    <w:rsid w:val="00BF75CB"/>
    <w:rsid w:val="00C00874"/>
    <w:rsid w:val="00C01892"/>
    <w:rsid w:val="00C01A90"/>
    <w:rsid w:val="00C01DD9"/>
    <w:rsid w:val="00C030BB"/>
    <w:rsid w:val="00C03557"/>
    <w:rsid w:val="00C04000"/>
    <w:rsid w:val="00C0400A"/>
    <w:rsid w:val="00C04204"/>
    <w:rsid w:val="00C045C1"/>
    <w:rsid w:val="00C06E60"/>
    <w:rsid w:val="00C0799A"/>
    <w:rsid w:val="00C07BC0"/>
    <w:rsid w:val="00C10E53"/>
    <w:rsid w:val="00C10EC9"/>
    <w:rsid w:val="00C11B96"/>
    <w:rsid w:val="00C11E48"/>
    <w:rsid w:val="00C12A03"/>
    <w:rsid w:val="00C139B5"/>
    <w:rsid w:val="00C1528F"/>
    <w:rsid w:val="00C157E8"/>
    <w:rsid w:val="00C15865"/>
    <w:rsid w:val="00C17B92"/>
    <w:rsid w:val="00C17BF2"/>
    <w:rsid w:val="00C20C18"/>
    <w:rsid w:val="00C20ED1"/>
    <w:rsid w:val="00C21C59"/>
    <w:rsid w:val="00C22CC1"/>
    <w:rsid w:val="00C22ECC"/>
    <w:rsid w:val="00C237D4"/>
    <w:rsid w:val="00C23E75"/>
    <w:rsid w:val="00C2495F"/>
    <w:rsid w:val="00C24C0B"/>
    <w:rsid w:val="00C25D12"/>
    <w:rsid w:val="00C2609B"/>
    <w:rsid w:val="00C264F0"/>
    <w:rsid w:val="00C27018"/>
    <w:rsid w:val="00C30349"/>
    <w:rsid w:val="00C308EA"/>
    <w:rsid w:val="00C3099B"/>
    <w:rsid w:val="00C31DDF"/>
    <w:rsid w:val="00C31FEF"/>
    <w:rsid w:val="00C32243"/>
    <w:rsid w:val="00C32789"/>
    <w:rsid w:val="00C327A5"/>
    <w:rsid w:val="00C329E6"/>
    <w:rsid w:val="00C32C4A"/>
    <w:rsid w:val="00C32E03"/>
    <w:rsid w:val="00C33711"/>
    <w:rsid w:val="00C34035"/>
    <w:rsid w:val="00C34DE4"/>
    <w:rsid w:val="00C36015"/>
    <w:rsid w:val="00C367F7"/>
    <w:rsid w:val="00C37613"/>
    <w:rsid w:val="00C37D92"/>
    <w:rsid w:val="00C41BFE"/>
    <w:rsid w:val="00C41E5C"/>
    <w:rsid w:val="00C426D8"/>
    <w:rsid w:val="00C42B00"/>
    <w:rsid w:val="00C42C68"/>
    <w:rsid w:val="00C438C1"/>
    <w:rsid w:val="00C4416F"/>
    <w:rsid w:val="00C44315"/>
    <w:rsid w:val="00C44340"/>
    <w:rsid w:val="00C443A7"/>
    <w:rsid w:val="00C4466A"/>
    <w:rsid w:val="00C478B0"/>
    <w:rsid w:val="00C50594"/>
    <w:rsid w:val="00C51321"/>
    <w:rsid w:val="00C51EC9"/>
    <w:rsid w:val="00C5295A"/>
    <w:rsid w:val="00C52F40"/>
    <w:rsid w:val="00C53517"/>
    <w:rsid w:val="00C54F71"/>
    <w:rsid w:val="00C56A52"/>
    <w:rsid w:val="00C56B0B"/>
    <w:rsid w:val="00C56FC0"/>
    <w:rsid w:val="00C57D30"/>
    <w:rsid w:val="00C60D83"/>
    <w:rsid w:val="00C62186"/>
    <w:rsid w:val="00C624B8"/>
    <w:rsid w:val="00C62549"/>
    <w:rsid w:val="00C626C4"/>
    <w:rsid w:val="00C63488"/>
    <w:rsid w:val="00C63A4F"/>
    <w:rsid w:val="00C65031"/>
    <w:rsid w:val="00C66A41"/>
    <w:rsid w:val="00C66A94"/>
    <w:rsid w:val="00C6752D"/>
    <w:rsid w:val="00C67736"/>
    <w:rsid w:val="00C72FEE"/>
    <w:rsid w:val="00C732EB"/>
    <w:rsid w:val="00C73C21"/>
    <w:rsid w:val="00C73D30"/>
    <w:rsid w:val="00C74C32"/>
    <w:rsid w:val="00C74F76"/>
    <w:rsid w:val="00C74FDF"/>
    <w:rsid w:val="00C76F53"/>
    <w:rsid w:val="00C77BAA"/>
    <w:rsid w:val="00C80684"/>
    <w:rsid w:val="00C80B63"/>
    <w:rsid w:val="00C81738"/>
    <w:rsid w:val="00C82293"/>
    <w:rsid w:val="00C8260D"/>
    <w:rsid w:val="00C8274A"/>
    <w:rsid w:val="00C82807"/>
    <w:rsid w:val="00C832F2"/>
    <w:rsid w:val="00C83D8D"/>
    <w:rsid w:val="00C83E05"/>
    <w:rsid w:val="00C844CD"/>
    <w:rsid w:val="00C85B7E"/>
    <w:rsid w:val="00C86B22"/>
    <w:rsid w:val="00C86BF1"/>
    <w:rsid w:val="00C873CA"/>
    <w:rsid w:val="00C87AED"/>
    <w:rsid w:val="00C87C60"/>
    <w:rsid w:val="00C9075C"/>
    <w:rsid w:val="00C912E6"/>
    <w:rsid w:val="00C91C6E"/>
    <w:rsid w:val="00C92E9F"/>
    <w:rsid w:val="00C95732"/>
    <w:rsid w:val="00C95AEE"/>
    <w:rsid w:val="00C96B70"/>
    <w:rsid w:val="00C96DA3"/>
    <w:rsid w:val="00CA0A39"/>
    <w:rsid w:val="00CA11A8"/>
    <w:rsid w:val="00CA14DC"/>
    <w:rsid w:val="00CA1890"/>
    <w:rsid w:val="00CA2299"/>
    <w:rsid w:val="00CA3A01"/>
    <w:rsid w:val="00CA51C5"/>
    <w:rsid w:val="00CA5374"/>
    <w:rsid w:val="00CA53B1"/>
    <w:rsid w:val="00CA69F7"/>
    <w:rsid w:val="00CA6BF9"/>
    <w:rsid w:val="00CB00C5"/>
    <w:rsid w:val="00CB053B"/>
    <w:rsid w:val="00CB140F"/>
    <w:rsid w:val="00CB19C7"/>
    <w:rsid w:val="00CB1C9A"/>
    <w:rsid w:val="00CB22E6"/>
    <w:rsid w:val="00CB2615"/>
    <w:rsid w:val="00CB28E7"/>
    <w:rsid w:val="00CB29A5"/>
    <w:rsid w:val="00CB2DF1"/>
    <w:rsid w:val="00CB365C"/>
    <w:rsid w:val="00CB42CC"/>
    <w:rsid w:val="00CB5E0A"/>
    <w:rsid w:val="00CB606F"/>
    <w:rsid w:val="00CB65FA"/>
    <w:rsid w:val="00CB6A39"/>
    <w:rsid w:val="00CB7F3C"/>
    <w:rsid w:val="00CC0E8A"/>
    <w:rsid w:val="00CC1494"/>
    <w:rsid w:val="00CC24FF"/>
    <w:rsid w:val="00CC2B9C"/>
    <w:rsid w:val="00CC30C7"/>
    <w:rsid w:val="00CC3294"/>
    <w:rsid w:val="00CC6293"/>
    <w:rsid w:val="00CC69F3"/>
    <w:rsid w:val="00CC76CF"/>
    <w:rsid w:val="00CD0C12"/>
    <w:rsid w:val="00CD118B"/>
    <w:rsid w:val="00CD17A6"/>
    <w:rsid w:val="00CD1CD1"/>
    <w:rsid w:val="00CD290F"/>
    <w:rsid w:val="00CD2A75"/>
    <w:rsid w:val="00CD3D1D"/>
    <w:rsid w:val="00CD3FF5"/>
    <w:rsid w:val="00CD4896"/>
    <w:rsid w:val="00CD4ABE"/>
    <w:rsid w:val="00CD5A7E"/>
    <w:rsid w:val="00CD60C2"/>
    <w:rsid w:val="00CD65FF"/>
    <w:rsid w:val="00CD6E5D"/>
    <w:rsid w:val="00CD75F2"/>
    <w:rsid w:val="00CD79F7"/>
    <w:rsid w:val="00CE005C"/>
    <w:rsid w:val="00CE051F"/>
    <w:rsid w:val="00CE07E5"/>
    <w:rsid w:val="00CE0C86"/>
    <w:rsid w:val="00CE104F"/>
    <w:rsid w:val="00CE1C0D"/>
    <w:rsid w:val="00CE1ED2"/>
    <w:rsid w:val="00CE25A1"/>
    <w:rsid w:val="00CE3143"/>
    <w:rsid w:val="00CE3620"/>
    <w:rsid w:val="00CE494F"/>
    <w:rsid w:val="00CE4DE3"/>
    <w:rsid w:val="00CE4FD4"/>
    <w:rsid w:val="00CE594B"/>
    <w:rsid w:val="00CE5A1E"/>
    <w:rsid w:val="00CE75EA"/>
    <w:rsid w:val="00CE7890"/>
    <w:rsid w:val="00CF0462"/>
    <w:rsid w:val="00CF0CF7"/>
    <w:rsid w:val="00CF132A"/>
    <w:rsid w:val="00CF155E"/>
    <w:rsid w:val="00CF1963"/>
    <w:rsid w:val="00CF1EEC"/>
    <w:rsid w:val="00CF26D2"/>
    <w:rsid w:val="00CF333D"/>
    <w:rsid w:val="00CF3EC7"/>
    <w:rsid w:val="00CF59A1"/>
    <w:rsid w:val="00CF7101"/>
    <w:rsid w:val="00CF710A"/>
    <w:rsid w:val="00CF7F81"/>
    <w:rsid w:val="00D0193B"/>
    <w:rsid w:val="00D02441"/>
    <w:rsid w:val="00D02504"/>
    <w:rsid w:val="00D02552"/>
    <w:rsid w:val="00D02B36"/>
    <w:rsid w:val="00D03906"/>
    <w:rsid w:val="00D04FDC"/>
    <w:rsid w:val="00D06097"/>
    <w:rsid w:val="00D0687C"/>
    <w:rsid w:val="00D07272"/>
    <w:rsid w:val="00D07D0E"/>
    <w:rsid w:val="00D07D33"/>
    <w:rsid w:val="00D102F1"/>
    <w:rsid w:val="00D108D6"/>
    <w:rsid w:val="00D10B92"/>
    <w:rsid w:val="00D10DF7"/>
    <w:rsid w:val="00D12346"/>
    <w:rsid w:val="00D134A0"/>
    <w:rsid w:val="00D14B8B"/>
    <w:rsid w:val="00D15166"/>
    <w:rsid w:val="00D15A59"/>
    <w:rsid w:val="00D15A8E"/>
    <w:rsid w:val="00D161D1"/>
    <w:rsid w:val="00D173F0"/>
    <w:rsid w:val="00D17B67"/>
    <w:rsid w:val="00D2010C"/>
    <w:rsid w:val="00D20E9F"/>
    <w:rsid w:val="00D21956"/>
    <w:rsid w:val="00D22B3B"/>
    <w:rsid w:val="00D237DE"/>
    <w:rsid w:val="00D23D1E"/>
    <w:rsid w:val="00D2577B"/>
    <w:rsid w:val="00D26238"/>
    <w:rsid w:val="00D26B79"/>
    <w:rsid w:val="00D26C33"/>
    <w:rsid w:val="00D26CC2"/>
    <w:rsid w:val="00D31189"/>
    <w:rsid w:val="00D318E4"/>
    <w:rsid w:val="00D31A86"/>
    <w:rsid w:val="00D3218A"/>
    <w:rsid w:val="00D3234B"/>
    <w:rsid w:val="00D331D9"/>
    <w:rsid w:val="00D334B9"/>
    <w:rsid w:val="00D345F0"/>
    <w:rsid w:val="00D358CF"/>
    <w:rsid w:val="00D36262"/>
    <w:rsid w:val="00D363A7"/>
    <w:rsid w:val="00D3696C"/>
    <w:rsid w:val="00D37D9F"/>
    <w:rsid w:val="00D405A9"/>
    <w:rsid w:val="00D410B9"/>
    <w:rsid w:val="00D41666"/>
    <w:rsid w:val="00D41EA6"/>
    <w:rsid w:val="00D424AC"/>
    <w:rsid w:val="00D42ECC"/>
    <w:rsid w:val="00D432C2"/>
    <w:rsid w:val="00D43941"/>
    <w:rsid w:val="00D43C57"/>
    <w:rsid w:val="00D440FA"/>
    <w:rsid w:val="00D444B2"/>
    <w:rsid w:val="00D44B1B"/>
    <w:rsid w:val="00D45A16"/>
    <w:rsid w:val="00D463CD"/>
    <w:rsid w:val="00D467B7"/>
    <w:rsid w:val="00D47151"/>
    <w:rsid w:val="00D4781F"/>
    <w:rsid w:val="00D47FF3"/>
    <w:rsid w:val="00D502B2"/>
    <w:rsid w:val="00D50678"/>
    <w:rsid w:val="00D50DE9"/>
    <w:rsid w:val="00D53651"/>
    <w:rsid w:val="00D54D85"/>
    <w:rsid w:val="00D56C17"/>
    <w:rsid w:val="00D5756F"/>
    <w:rsid w:val="00D60265"/>
    <w:rsid w:val="00D60270"/>
    <w:rsid w:val="00D632CA"/>
    <w:rsid w:val="00D636F8"/>
    <w:rsid w:val="00D63BC1"/>
    <w:rsid w:val="00D65E56"/>
    <w:rsid w:val="00D663F1"/>
    <w:rsid w:val="00D66AA0"/>
    <w:rsid w:val="00D66E25"/>
    <w:rsid w:val="00D66FAB"/>
    <w:rsid w:val="00D6736F"/>
    <w:rsid w:val="00D70956"/>
    <w:rsid w:val="00D71E6F"/>
    <w:rsid w:val="00D7216F"/>
    <w:rsid w:val="00D7225C"/>
    <w:rsid w:val="00D738F3"/>
    <w:rsid w:val="00D74A50"/>
    <w:rsid w:val="00D74C58"/>
    <w:rsid w:val="00D75468"/>
    <w:rsid w:val="00D75723"/>
    <w:rsid w:val="00D7670C"/>
    <w:rsid w:val="00D800AD"/>
    <w:rsid w:val="00D804BB"/>
    <w:rsid w:val="00D8083A"/>
    <w:rsid w:val="00D81A4E"/>
    <w:rsid w:val="00D823DA"/>
    <w:rsid w:val="00D82632"/>
    <w:rsid w:val="00D83234"/>
    <w:rsid w:val="00D83F71"/>
    <w:rsid w:val="00D862AE"/>
    <w:rsid w:val="00D869BF"/>
    <w:rsid w:val="00D86D73"/>
    <w:rsid w:val="00D8711D"/>
    <w:rsid w:val="00D87662"/>
    <w:rsid w:val="00D8771F"/>
    <w:rsid w:val="00D8778F"/>
    <w:rsid w:val="00D87979"/>
    <w:rsid w:val="00D87B5A"/>
    <w:rsid w:val="00D87F92"/>
    <w:rsid w:val="00D87F96"/>
    <w:rsid w:val="00D90325"/>
    <w:rsid w:val="00D9102F"/>
    <w:rsid w:val="00D91285"/>
    <w:rsid w:val="00D919FF"/>
    <w:rsid w:val="00D91E47"/>
    <w:rsid w:val="00D9279D"/>
    <w:rsid w:val="00D9330B"/>
    <w:rsid w:val="00D94CD0"/>
    <w:rsid w:val="00D952A5"/>
    <w:rsid w:val="00D9545D"/>
    <w:rsid w:val="00D95968"/>
    <w:rsid w:val="00D95F10"/>
    <w:rsid w:val="00D96B30"/>
    <w:rsid w:val="00D97139"/>
    <w:rsid w:val="00D97870"/>
    <w:rsid w:val="00D97BA4"/>
    <w:rsid w:val="00DA03A9"/>
    <w:rsid w:val="00DA180D"/>
    <w:rsid w:val="00DA22EF"/>
    <w:rsid w:val="00DA2AAB"/>
    <w:rsid w:val="00DA2B67"/>
    <w:rsid w:val="00DA2CB3"/>
    <w:rsid w:val="00DA2EE2"/>
    <w:rsid w:val="00DA45FE"/>
    <w:rsid w:val="00DA51BE"/>
    <w:rsid w:val="00DA5589"/>
    <w:rsid w:val="00DA699B"/>
    <w:rsid w:val="00DA71C2"/>
    <w:rsid w:val="00DA7C22"/>
    <w:rsid w:val="00DB32E5"/>
    <w:rsid w:val="00DB3C63"/>
    <w:rsid w:val="00DB4454"/>
    <w:rsid w:val="00DB4EE2"/>
    <w:rsid w:val="00DB5675"/>
    <w:rsid w:val="00DB5FC2"/>
    <w:rsid w:val="00DB706C"/>
    <w:rsid w:val="00DC03A5"/>
    <w:rsid w:val="00DC1376"/>
    <w:rsid w:val="00DC1A45"/>
    <w:rsid w:val="00DC38E1"/>
    <w:rsid w:val="00DC3E9B"/>
    <w:rsid w:val="00DC4EEB"/>
    <w:rsid w:val="00DC54FA"/>
    <w:rsid w:val="00DC5820"/>
    <w:rsid w:val="00DC63F2"/>
    <w:rsid w:val="00DC7117"/>
    <w:rsid w:val="00DC780B"/>
    <w:rsid w:val="00DD0F28"/>
    <w:rsid w:val="00DD170A"/>
    <w:rsid w:val="00DD2164"/>
    <w:rsid w:val="00DD23F8"/>
    <w:rsid w:val="00DD2E0E"/>
    <w:rsid w:val="00DD323B"/>
    <w:rsid w:val="00DD3FA6"/>
    <w:rsid w:val="00DD4698"/>
    <w:rsid w:val="00DD4B1F"/>
    <w:rsid w:val="00DD624D"/>
    <w:rsid w:val="00DD666F"/>
    <w:rsid w:val="00DD6BDE"/>
    <w:rsid w:val="00DD71BD"/>
    <w:rsid w:val="00DE0150"/>
    <w:rsid w:val="00DE0264"/>
    <w:rsid w:val="00DE0336"/>
    <w:rsid w:val="00DE3530"/>
    <w:rsid w:val="00DE3BB4"/>
    <w:rsid w:val="00DE467C"/>
    <w:rsid w:val="00DE4F18"/>
    <w:rsid w:val="00DE5057"/>
    <w:rsid w:val="00DE56B3"/>
    <w:rsid w:val="00DE5C8E"/>
    <w:rsid w:val="00DE60FA"/>
    <w:rsid w:val="00DE6A75"/>
    <w:rsid w:val="00DE708C"/>
    <w:rsid w:val="00DE7704"/>
    <w:rsid w:val="00DE7A1B"/>
    <w:rsid w:val="00DF0042"/>
    <w:rsid w:val="00DF0251"/>
    <w:rsid w:val="00DF03BE"/>
    <w:rsid w:val="00DF075B"/>
    <w:rsid w:val="00DF0DE2"/>
    <w:rsid w:val="00DF18F4"/>
    <w:rsid w:val="00DF3233"/>
    <w:rsid w:val="00DF443D"/>
    <w:rsid w:val="00DF5AF2"/>
    <w:rsid w:val="00DF5B9B"/>
    <w:rsid w:val="00DF7235"/>
    <w:rsid w:val="00DF7646"/>
    <w:rsid w:val="00E00542"/>
    <w:rsid w:val="00E01D22"/>
    <w:rsid w:val="00E01E1D"/>
    <w:rsid w:val="00E02041"/>
    <w:rsid w:val="00E0223A"/>
    <w:rsid w:val="00E02253"/>
    <w:rsid w:val="00E0340F"/>
    <w:rsid w:val="00E041A7"/>
    <w:rsid w:val="00E044F9"/>
    <w:rsid w:val="00E04579"/>
    <w:rsid w:val="00E04D05"/>
    <w:rsid w:val="00E05013"/>
    <w:rsid w:val="00E0567C"/>
    <w:rsid w:val="00E05C18"/>
    <w:rsid w:val="00E05F0F"/>
    <w:rsid w:val="00E07BD5"/>
    <w:rsid w:val="00E10D83"/>
    <w:rsid w:val="00E10DA7"/>
    <w:rsid w:val="00E1100C"/>
    <w:rsid w:val="00E114AD"/>
    <w:rsid w:val="00E114EB"/>
    <w:rsid w:val="00E12296"/>
    <w:rsid w:val="00E12A9F"/>
    <w:rsid w:val="00E13D2C"/>
    <w:rsid w:val="00E148CE"/>
    <w:rsid w:val="00E151AF"/>
    <w:rsid w:val="00E153FD"/>
    <w:rsid w:val="00E167EC"/>
    <w:rsid w:val="00E17003"/>
    <w:rsid w:val="00E17D1F"/>
    <w:rsid w:val="00E17F70"/>
    <w:rsid w:val="00E200AF"/>
    <w:rsid w:val="00E200DF"/>
    <w:rsid w:val="00E20FF6"/>
    <w:rsid w:val="00E21FCB"/>
    <w:rsid w:val="00E22ABB"/>
    <w:rsid w:val="00E23E40"/>
    <w:rsid w:val="00E2455F"/>
    <w:rsid w:val="00E2462A"/>
    <w:rsid w:val="00E25232"/>
    <w:rsid w:val="00E25289"/>
    <w:rsid w:val="00E25C05"/>
    <w:rsid w:val="00E266FA"/>
    <w:rsid w:val="00E26CA1"/>
    <w:rsid w:val="00E271F1"/>
    <w:rsid w:val="00E27D6F"/>
    <w:rsid w:val="00E3184F"/>
    <w:rsid w:val="00E3188B"/>
    <w:rsid w:val="00E31C50"/>
    <w:rsid w:val="00E31E42"/>
    <w:rsid w:val="00E323DB"/>
    <w:rsid w:val="00E32A70"/>
    <w:rsid w:val="00E32D0D"/>
    <w:rsid w:val="00E332FD"/>
    <w:rsid w:val="00E33478"/>
    <w:rsid w:val="00E3360B"/>
    <w:rsid w:val="00E337DB"/>
    <w:rsid w:val="00E345B9"/>
    <w:rsid w:val="00E3570E"/>
    <w:rsid w:val="00E3577A"/>
    <w:rsid w:val="00E413B6"/>
    <w:rsid w:val="00E414E3"/>
    <w:rsid w:val="00E41D92"/>
    <w:rsid w:val="00E42127"/>
    <w:rsid w:val="00E42E0F"/>
    <w:rsid w:val="00E4386B"/>
    <w:rsid w:val="00E44FEE"/>
    <w:rsid w:val="00E465E9"/>
    <w:rsid w:val="00E46889"/>
    <w:rsid w:val="00E50AD0"/>
    <w:rsid w:val="00E5162F"/>
    <w:rsid w:val="00E518F4"/>
    <w:rsid w:val="00E54013"/>
    <w:rsid w:val="00E5476A"/>
    <w:rsid w:val="00E5486C"/>
    <w:rsid w:val="00E54D07"/>
    <w:rsid w:val="00E54E9C"/>
    <w:rsid w:val="00E57174"/>
    <w:rsid w:val="00E604BE"/>
    <w:rsid w:val="00E607DD"/>
    <w:rsid w:val="00E61157"/>
    <w:rsid w:val="00E61F0F"/>
    <w:rsid w:val="00E61FB0"/>
    <w:rsid w:val="00E6288F"/>
    <w:rsid w:val="00E64614"/>
    <w:rsid w:val="00E64FB2"/>
    <w:rsid w:val="00E65C96"/>
    <w:rsid w:val="00E66F77"/>
    <w:rsid w:val="00E67766"/>
    <w:rsid w:val="00E6791C"/>
    <w:rsid w:val="00E67B49"/>
    <w:rsid w:val="00E67E43"/>
    <w:rsid w:val="00E70112"/>
    <w:rsid w:val="00E70281"/>
    <w:rsid w:val="00E71325"/>
    <w:rsid w:val="00E717D0"/>
    <w:rsid w:val="00E71DF3"/>
    <w:rsid w:val="00E72446"/>
    <w:rsid w:val="00E730DB"/>
    <w:rsid w:val="00E750D8"/>
    <w:rsid w:val="00E7680A"/>
    <w:rsid w:val="00E77142"/>
    <w:rsid w:val="00E771AA"/>
    <w:rsid w:val="00E8000D"/>
    <w:rsid w:val="00E80176"/>
    <w:rsid w:val="00E80B7A"/>
    <w:rsid w:val="00E8113D"/>
    <w:rsid w:val="00E8175C"/>
    <w:rsid w:val="00E8193B"/>
    <w:rsid w:val="00E837BF"/>
    <w:rsid w:val="00E83F7A"/>
    <w:rsid w:val="00E842BA"/>
    <w:rsid w:val="00E84578"/>
    <w:rsid w:val="00E84D5A"/>
    <w:rsid w:val="00E85076"/>
    <w:rsid w:val="00E8668E"/>
    <w:rsid w:val="00E87E49"/>
    <w:rsid w:val="00E900A0"/>
    <w:rsid w:val="00E93468"/>
    <w:rsid w:val="00E94F1E"/>
    <w:rsid w:val="00E95DAD"/>
    <w:rsid w:val="00E9682C"/>
    <w:rsid w:val="00E968BE"/>
    <w:rsid w:val="00E96FE4"/>
    <w:rsid w:val="00E974AF"/>
    <w:rsid w:val="00EA0871"/>
    <w:rsid w:val="00EA1622"/>
    <w:rsid w:val="00EA1638"/>
    <w:rsid w:val="00EA1D6C"/>
    <w:rsid w:val="00EA2A86"/>
    <w:rsid w:val="00EA36F3"/>
    <w:rsid w:val="00EA3BA8"/>
    <w:rsid w:val="00EA4405"/>
    <w:rsid w:val="00EA50D3"/>
    <w:rsid w:val="00EA6B41"/>
    <w:rsid w:val="00EA6CDC"/>
    <w:rsid w:val="00EA727D"/>
    <w:rsid w:val="00EA7E5D"/>
    <w:rsid w:val="00EB06EF"/>
    <w:rsid w:val="00EB0B43"/>
    <w:rsid w:val="00EB139C"/>
    <w:rsid w:val="00EB1C93"/>
    <w:rsid w:val="00EB1E8A"/>
    <w:rsid w:val="00EB2305"/>
    <w:rsid w:val="00EB3210"/>
    <w:rsid w:val="00EB34EA"/>
    <w:rsid w:val="00EB4A9A"/>
    <w:rsid w:val="00EB5F21"/>
    <w:rsid w:val="00EB616C"/>
    <w:rsid w:val="00EC0046"/>
    <w:rsid w:val="00EC0EC0"/>
    <w:rsid w:val="00EC19EB"/>
    <w:rsid w:val="00EC2118"/>
    <w:rsid w:val="00EC216B"/>
    <w:rsid w:val="00EC220F"/>
    <w:rsid w:val="00EC2C5A"/>
    <w:rsid w:val="00EC3BD4"/>
    <w:rsid w:val="00EC4AC0"/>
    <w:rsid w:val="00EC6871"/>
    <w:rsid w:val="00EC721B"/>
    <w:rsid w:val="00EC7A35"/>
    <w:rsid w:val="00EC7CBC"/>
    <w:rsid w:val="00ED0731"/>
    <w:rsid w:val="00ED1ADF"/>
    <w:rsid w:val="00ED1E9D"/>
    <w:rsid w:val="00ED2A4E"/>
    <w:rsid w:val="00ED448B"/>
    <w:rsid w:val="00ED600C"/>
    <w:rsid w:val="00ED649B"/>
    <w:rsid w:val="00ED6868"/>
    <w:rsid w:val="00ED7DB6"/>
    <w:rsid w:val="00EE156E"/>
    <w:rsid w:val="00EE7896"/>
    <w:rsid w:val="00EE7F04"/>
    <w:rsid w:val="00EE7F35"/>
    <w:rsid w:val="00EF29E2"/>
    <w:rsid w:val="00EF2AD1"/>
    <w:rsid w:val="00EF3F4B"/>
    <w:rsid w:val="00EF5453"/>
    <w:rsid w:val="00EF6B96"/>
    <w:rsid w:val="00EF6EA2"/>
    <w:rsid w:val="00EF7289"/>
    <w:rsid w:val="00EF78D3"/>
    <w:rsid w:val="00EF7EF0"/>
    <w:rsid w:val="00F00BA9"/>
    <w:rsid w:val="00F02B6B"/>
    <w:rsid w:val="00F03EB3"/>
    <w:rsid w:val="00F04C89"/>
    <w:rsid w:val="00F04D99"/>
    <w:rsid w:val="00F05552"/>
    <w:rsid w:val="00F06C2D"/>
    <w:rsid w:val="00F06F17"/>
    <w:rsid w:val="00F07DFF"/>
    <w:rsid w:val="00F07FB1"/>
    <w:rsid w:val="00F111D9"/>
    <w:rsid w:val="00F11620"/>
    <w:rsid w:val="00F117E4"/>
    <w:rsid w:val="00F11D29"/>
    <w:rsid w:val="00F1226D"/>
    <w:rsid w:val="00F1291E"/>
    <w:rsid w:val="00F129F0"/>
    <w:rsid w:val="00F16409"/>
    <w:rsid w:val="00F16517"/>
    <w:rsid w:val="00F169F9"/>
    <w:rsid w:val="00F16BA3"/>
    <w:rsid w:val="00F16BBE"/>
    <w:rsid w:val="00F16E0F"/>
    <w:rsid w:val="00F203CA"/>
    <w:rsid w:val="00F20405"/>
    <w:rsid w:val="00F22491"/>
    <w:rsid w:val="00F224A8"/>
    <w:rsid w:val="00F2329E"/>
    <w:rsid w:val="00F23763"/>
    <w:rsid w:val="00F252BB"/>
    <w:rsid w:val="00F2614D"/>
    <w:rsid w:val="00F2640B"/>
    <w:rsid w:val="00F2642B"/>
    <w:rsid w:val="00F26457"/>
    <w:rsid w:val="00F26FE1"/>
    <w:rsid w:val="00F3178B"/>
    <w:rsid w:val="00F322FD"/>
    <w:rsid w:val="00F329B9"/>
    <w:rsid w:val="00F32DA0"/>
    <w:rsid w:val="00F335D0"/>
    <w:rsid w:val="00F35ACC"/>
    <w:rsid w:val="00F363F3"/>
    <w:rsid w:val="00F36EB0"/>
    <w:rsid w:val="00F37509"/>
    <w:rsid w:val="00F40826"/>
    <w:rsid w:val="00F41402"/>
    <w:rsid w:val="00F41EDE"/>
    <w:rsid w:val="00F4213E"/>
    <w:rsid w:val="00F42C53"/>
    <w:rsid w:val="00F42FD6"/>
    <w:rsid w:val="00F43A7B"/>
    <w:rsid w:val="00F44220"/>
    <w:rsid w:val="00F44429"/>
    <w:rsid w:val="00F44CCC"/>
    <w:rsid w:val="00F47633"/>
    <w:rsid w:val="00F478C3"/>
    <w:rsid w:val="00F47A7A"/>
    <w:rsid w:val="00F503B5"/>
    <w:rsid w:val="00F5045F"/>
    <w:rsid w:val="00F50B89"/>
    <w:rsid w:val="00F511FD"/>
    <w:rsid w:val="00F51996"/>
    <w:rsid w:val="00F51E49"/>
    <w:rsid w:val="00F52237"/>
    <w:rsid w:val="00F52BDE"/>
    <w:rsid w:val="00F52F93"/>
    <w:rsid w:val="00F532CB"/>
    <w:rsid w:val="00F54670"/>
    <w:rsid w:val="00F5560A"/>
    <w:rsid w:val="00F605F1"/>
    <w:rsid w:val="00F6083D"/>
    <w:rsid w:val="00F6349D"/>
    <w:rsid w:val="00F6452A"/>
    <w:rsid w:val="00F656F4"/>
    <w:rsid w:val="00F657F8"/>
    <w:rsid w:val="00F6632E"/>
    <w:rsid w:val="00F66CE2"/>
    <w:rsid w:val="00F67244"/>
    <w:rsid w:val="00F673F2"/>
    <w:rsid w:val="00F67767"/>
    <w:rsid w:val="00F71E59"/>
    <w:rsid w:val="00F7295A"/>
    <w:rsid w:val="00F73ED7"/>
    <w:rsid w:val="00F74521"/>
    <w:rsid w:val="00F7720D"/>
    <w:rsid w:val="00F80EE0"/>
    <w:rsid w:val="00F82340"/>
    <w:rsid w:val="00F82D8D"/>
    <w:rsid w:val="00F8403B"/>
    <w:rsid w:val="00F842BD"/>
    <w:rsid w:val="00F850A3"/>
    <w:rsid w:val="00F855E9"/>
    <w:rsid w:val="00F85D6F"/>
    <w:rsid w:val="00F85FE7"/>
    <w:rsid w:val="00F86221"/>
    <w:rsid w:val="00F86B74"/>
    <w:rsid w:val="00F86BA4"/>
    <w:rsid w:val="00F87074"/>
    <w:rsid w:val="00F875AB"/>
    <w:rsid w:val="00F87A99"/>
    <w:rsid w:val="00F87C3B"/>
    <w:rsid w:val="00F90006"/>
    <w:rsid w:val="00F90E86"/>
    <w:rsid w:val="00F92BF9"/>
    <w:rsid w:val="00F92CB7"/>
    <w:rsid w:val="00F92DA7"/>
    <w:rsid w:val="00F93115"/>
    <w:rsid w:val="00F93DC8"/>
    <w:rsid w:val="00F944A9"/>
    <w:rsid w:val="00F9512D"/>
    <w:rsid w:val="00F955C8"/>
    <w:rsid w:val="00F969B6"/>
    <w:rsid w:val="00F975F8"/>
    <w:rsid w:val="00F97EAC"/>
    <w:rsid w:val="00FA1036"/>
    <w:rsid w:val="00FA1E41"/>
    <w:rsid w:val="00FA2956"/>
    <w:rsid w:val="00FA2B65"/>
    <w:rsid w:val="00FA3721"/>
    <w:rsid w:val="00FA5787"/>
    <w:rsid w:val="00FA74E6"/>
    <w:rsid w:val="00FA7D4C"/>
    <w:rsid w:val="00FB006E"/>
    <w:rsid w:val="00FB0778"/>
    <w:rsid w:val="00FB07B0"/>
    <w:rsid w:val="00FB07DC"/>
    <w:rsid w:val="00FB0B02"/>
    <w:rsid w:val="00FB0F4B"/>
    <w:rsid w:val="00FB14FE"/>
    <w:rsid w:val="00FB17B2"/>
    <w:rsid w:val="00FB1F9B"/>
    <w:rsid w:val="00FB2735"/>
    <w:rsid w:val="00FB4416"/>
    <w:rsid w:val="00FB5A37"/>
    <w:rsid w:val="00FB5B49"/>
    <w:rsid w:val="00FB5D20"/>
    <w:rsid w:val="00FB717C"/>
    <w:rsid w:val="00FC0ACA"/>
    <w:rsid w:val="00FC0FBC"/>
    <w:rsid w:val="00FC251E"/>
    <w:rsid w:val="00FC3143"/>
    <w:rsid w:val="00FC39EC"/>
    <w:rsid w:val="00FC3DD9"/>
    <w:rsid w:val="00FC3E1F"/>
    <w:rsid w:val="00FC434F"/>
    <w:rsid w:val="00FC4A7C"/>
    <w:rsid w:val="00FC4E3E"/>
    <w:rsid w:val="00FC5EBA"/>
    <w:rsid w:val="00FC65B1"/>
    <w:rsid w:val="00FC6ADF"/>
    <w:rsid w:val="00FC769E"/>
    <w:rsid w:val="00FC7E72"/>
    <w:rsid w:val="00FD1E16"/>
    <w:rsid w:val="00FD3C73"/>
    <w:rsid w:val="00FD3EDA"/>
    <w:rsid w:val="00FD3F4A"/>
    <w:rsid w:val="00FD4BB0"/>
    <w:rsid w:val="00FD613E"/>
    <w:rsid w:val="00FD748C"/>
    <w:rsid w:val="00FD7B28"/>
    <w:rsid w:val="00FD7EBB"/>
    <w:rsid w:val="00FE07F6"/>
    <w:rsid w:val="00FE0B76"/>
    <w:rsid w:val="00FE0C5F"/>
    <w:rsid w:val="00FE26C1"/>
    <w:rsid w:val="00FE2F04"/>
    <w:rsid w:val="00FE390E"/>
    <w:rsid w:val="00FE4992"/>
    <w:rsid w:val="00FE591C"/>
    <w:rsid w:val="00FE5D6D"/>
    <w:rsid w:val="00FE6602"/>
    <w:rsid w:val="00FE6E06"/>
    <w:rsid w:val="00FE791C"/>
    <w:rsid w:val="00FF064C"/>
    <w:rsid w:val="00FF0C7D"/>
    <w:rsid w:val="00FF1F83"/>
    <w:rsid w:val="00FF3234"/>
    <w:rsid w:val="00FF3C94"/>
    <w:rsid w:val="00FF49B8"/>
    <w:rsid w:val="00FF5035"/>
    <w:rsid w:val="00FF6DB6"/>
    <w:rsid w:val="00FF7562"/>
    <w:rsid w:val="00FF7CE3"/>
    <w:rsid w:val="03887386"/>
    <w:rsid w:val="04A001D6"/>
    <w:rsid w:val="1026D33E"/>
    <w:rsid w:val="17AAD24F"/>
    <w:rsid w:val="1863A67E"/>
    <w:rsid w:val="1F239277"/>
    <w:rsid w:val="255CE9EF"/>
    <w:rsid w:val="2CC4476A"/>
    <w:rsid w:val="2D406D7F"/>
    <w:rsid w:val="2FE3C69F"/>
    <w:rsid w:val="2FF95D07"/>
    <w:rsid w:val="3050F2E8"/>
    <w:rsid w:val="329B6342"/>
    <w:rsid w:val="34053D0C"/>
    <w:rsid w:val="36197F63"/>
    <w:rsid w:val="3636F0A2"/>
    <w:rsid w:val="3843E980"/>
    <w:rsid w:val="47B18293"/>
    <w:rsid w:val="484327B1"/>
    <w:rsid w:val="496474F4"/>
    <w:rsid w:val="4A53E81F"/>
    <w:rsid w:val="57133B65"/>
    <w:rsid w:val="598582F1"/>
    <w:rsid w:val="599C8B2A"/>
    <w:rsid w:val="59CDCB79"/>
    <w:rsid w:val="5A02FE79"/>
    <w:rsid w:val="600D7E53"/>
    <w:rsid w:val="63185F66"/>
    <w:rsid w:val="64666AEE"/>
    <w:rsid w:val="66CC46EB"/>
    <w:rsid w:val="6718650D"/>
    <w:rsid w:val="679BF147"/>
    <w:rsid w:val="6D1414DB"/>
    <w:rsid w:val="6DDDE6F1"/>
    <w:rsid w:val="7339517F"/>
    <w:rsid w:val="750D4730"/>
    <w:rsid w:val="7AD0EC4D"/>
    <w:rsid w:val="7C1C9DC4"/>
    <w:rsid w:val="7DF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474F4"/>
  <w15:chartTrackingRefBased/>
  <w15:docId w15:val="{72FDA9D4-BE3E-4AC2-AD2C-4B4A806D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alne"/>
    <w:qFormat/>
    <w:rsid w:val="00CD3D1D"/>
    <w:pPr>
      <w:spacing w:after="120" w:line="240" w:lineRule="auto"/>
      <w:jc w:val="both"/>
    </w:pPr>
    <w:rPr>
      <w:rFonts w:ascii="Arial" w:hAnsi="Arial"/>
      <w:sz w:val="22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E4B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1E4B"/>
    <w:rPr>
      <w:rFonts w:ascii="Arial" w:hAnsi="Arial"/>
      <w:sz w:val="22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201E4B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1E4B"/>
    <w:rPr>
      <w:rFonts w:ascii="Arial" w:hAnsi="Arial"/>
      <w:sz w:val="22"/>
      <w:lang w:val="et-EE"/>
    </w:rPr>
  </w:style>
  <w:style w:type="paragraph" w:styleId="ListParagraph">
    <w:name w:val="List Paragraph"/>
    <w:basedOn w:val="Normal"/>
    <w:link w:val="ListParagraphChar"/>
    <w:uiPriority w:val="34"/>
    <w:qFormat/>
    <w:rsid w:val="008C60A3"/>
    <w:pPr>
      <w:ind w:left="720"/>
    </w:pPr>
  </w:style>
  <w:style w:type="paragraph" w:customStyle="1" w:styleId="Listtasand1">
    <w:name w:val="List tasand 1"/>
    <w:basedOn w:val="Heading1"/>
    <w:link w:val="Listtasand1Char"/>
    <w:qFormat/>
    <w:rsid w:val="00CF7101"/>
    <w:pPr>
      <w:keepNext w:val="0"/>
      <w:keepLines w:val="0"/>
      <w:numPr>
        <w:numId w:val="1"/>
      </w:numPr>
      <w:spacing w:before="240" w:after="120"/>
    </w:pPr>
    <w:rPr>
      <w:rFonts w:ascii="Arial" w:hAnsi="Arial"/>
      <w:b/>
      <w:bCs/>
      <w:color w:val="auto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60A3"/>
    <w:rPr>
      <w:rFonts w:ascii="Arial" w:hAnsi="Arial"/>
      <w:sz w:val="22"/>
      <w:lang w:val="et-EE"/>
    </w:rPr>
  </w:style>
  <w:style w:type="character" w:customStyle="1" w:styleId="Listtasand1Char">
    <w:name w:val="List tasand 1 Char"/>
    <w:basedOn w:val="ListParagraphChar"/>
    <w:link w:val="Listtasand1"/>
    <w:rsid w:val="00CF7101"/>
    <w:rPr>
      <w:rFonts w:ascii="Arial" w:eastAsiaTheme="majorEastAsia" w:hAnsi="Arial" w:cstheme="majorBidi"/>
      <w:b/>
      <w:bCs/>
      <w:sz w:val="22"/>
      <w:szCs w:val="40"/>
      <w:lang w:val="et-EE"/>
    </w:rPr>
  </w:style>
  <w:style w:type="paragraph" w:customStyle="1" w:styleId="Listtasand2">
    <w:name w:val="List tasand 2"/>
    <w:basedOn w:val="Listtasand1"/>
    <w:link w:val="Listtasand2Char"/>
    <w:qFormat/>
    <w:rsid w:val="00353AD0"/>
    <w:pPr>
      <w:numPr>
        <w:ilvl w:val="1"/>
      </w:numPr>
      <w:tabs>
        <w:tab w:val="clear" w:pos="1418"/>
        <w:tab w:val="num" w:pos="709"/>
      </w:tabs>
      <w:spacing w:before="0"/>
      <w:ind w:left="709"/>
    </w:pPr>
    <w:rPr>
      <w:b w:val="0"/>
      <w:bCs w:val="0"/>
    </w:rPr>
  </w:style>
  <w:style w:type="character" w:customStyle="1" w:styleId="Listtasand2Char">
    <w:name w:val="List tasand 2 Char"/>
    <w:basedOn w:val="Listtasand1Char"/>
    <w:link w:val="Listtasand2"/>
    <w:rsid w:val="00353AD0"/>
    <w:rPr>
      <w:rFonts w:ascii="Arial" w:eastAsiaTheme="majorEastAsia" w:hAnsi="Arial" w:cstheme="majorBidi"/>
      <w:b w:val="0"/>
      <w:bCs w:val="0"/>
      <w:sz w:val="22"/>
      <w:szCs w:val="40"/>
      <w:lang w:val="et-EE"/>
    </w:rPr>
  </w:style>
  <w:style w:type="paragraph" w:customStyle="1" w:styleId="Listtasand3">
    <w:name w:val="List tasand 3"/>
    <w:basedOn w:val="Listtasand2"/>
    <w:link w:val="Listtasand3Char"/>
    <w:qFormat/>
    <w:rsid w:val="00B86B37"/>
    <w:pPr>
      <w:numPr>
        <w:ilvl w:val="2"/>
      </w:numPr>
      <w:tabs>
        <w:tab w:val="clear" w:pos="2127"/>
        <w:tab w:val="left" w:pos="1701"/>
      </w:tabs>
      <w:ind w:left="1560" w:hanging="851"/>
    </w:pPr>
  </w:style>
  <w:style w:type="character" w:customStyle="1" w:styleId="Listtasand3Char">
    <w:name w:val="List tasand 3 Char"/>
    <w:basedOn w:val="Listtasand2Char"/>
    <w:link w:val="Listtasand3"/>
    <w:rsid w:val="00B86B37"/>
    <w:rPr>
      <w:rFonts w:ascii="Arial" w:eastAsiaTheme="majorEastAsia" w:hAnsi="Arial" w:cstheme="majorBidi"/>
      <w:b w:val="0"/>
      <w:bCs w:val="0"/>
      <w:sz w:val="22"/>
      <w:szCs w:val="40"/>
      <w:lang w:val="et-EE"/>
    </w:rPr>
  </w:style>
  <w:style w:type="character" w:styleId="Hyperlink">
    <w:name w:val="Hyperlink"/>
    <w:basedOn w:val="DefaultParagraphFont"/>
    <w:uiPriority w:val="99"/>
    <w:unhideWhenUsed/>
    <w:rsid w:val="00C030BB"/>
    <w:rPr>
      <w:rFonts w:ascii="Arial" w:hAnsi="Arial"/>
      <w:color w:val="auto"/>
      <w:sz w:val="2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699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0270"/>
    <w:pPr>
      <w:spacing w:after="0" w:line="240" w:lineRule="auto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</w:tcPr>
  </w:style>
  <w:style w:type="paragraph" w:customStyle="1" w:styleId="Pealkiri1">
    <w:name w:val="Pealkiri1"/>
    <w:basedOn w:val="Normal"/>
    <w:link w:val="PealkiriChar"/>
    <w:qFormat/>
    <w:rsid w:val="004022FA"/>
    <w:rPr>
      <w:b/>
      <w:bCs/>
      <w:smallCaps/>
      <w:sz w:val="32"/>
      <w:szCs w:val="36"/>
    </w:rPr>
  </w:style>
  <w:style w:type="character" w:customStyle="1" w:styleId="PealkiriChar">
    <w:name w:val="Pealkiri Char"/>
    <w:basedOn w:val="DefaultParagraphFont"/>
    <w:link w:val="Pealkiri1"/>
    <w:rsid w:val="004022FA"/>
    <w:rPr>
      <w:rFonts w:ascii="Arial" w:hAnsi="Arial"/>
      <w:b/>
      <w:bCs/>
      <w:smallCaps/>
      <w:sz w:val="32"/>
      <w:szCs w:val="36"/>
      <w:lang w:val="et-EE"/>
    </w:rPr>
  </w:style>
  <w:style w:type="paragraph" w:styleId="TOCHeading">
    <w:name w:val="TOC Heading"/>
    <w:basedOn w:val="Heading1"/>
    <w:next w:val="Normal"/>
    <w:uiPriority w:val="39"/>
    <w:unhideWhenUsed/>
    <w:qFormat/>
    <w:rsid w:val="00070D71"/>
    <w:pPr>
      <w:spacing w:before="240" w:after="0" w:line="259" w:lineRule="auto"/>
      <w:outlineLvl w:val="9"/>
    </w:pPr>
    <w:rPr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A33884"/>
    <w:pPr>
      <w:spacing w:before="240"/>
      <w:jc w:val="left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3884"/>
    <w:pPr>
      <w:spacing w:before="120" w:after="0"/>
      <w:ind w:left="220"/>
      <w:jc w:val="left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3884"/>
    <w:pPr>
      <w:spacing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33884"/>
    <w:pPr>
      <w:spacing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33884"/>
    <w:pPr>
      <w:spacing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33884"/>
    <w:pPr>
      <w:spacing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33884"/>
    <w:pPr>
      <w:spacing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33884"/>
    <w:pPr>
      <w:spacing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33884"/>
    <w:pPr>
      <w:spacing w:after="0"/>
      <w:ind w:left="1760"/>
      <w:jc w:val="left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F503B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03B5"/>
    <w:rPr>
      <w:rFonts w:ascii="Arial" w:hAnsi="Arial"/>
      <w:sz w:val="20"/>
      <w:szCs w:val="20"/>
      <w:lang w:val="et-EE"/>
    </w:rPr>
  </w:style>
  <w:style w:type="character" w:styleId="FootnoteReference">
    <w:name w:val="footnote reference"/>
    <w:basedOn w:val="DefaultParagraphFont"/>
    <w:uiPriority w:val="99"/>
    <w:semiHidden/>
    <w:unhideWhenUsed/>
    <w:rsid w:val="00F503B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03BEA"/>
    <w:rPr>
      <w:color w:val="96607D" w:themeColor="followedHyperlink"/>
      <w:u w:val="single"/>
    </w:rPr>
  </w:style>
  <w:style w:type="paragraph" w:customStyle="1" w:styleId="Listtasand4">
    <w:name w:val="List tasand 4"/>
    <w:basedOn w:val="Listtasand3"/>
    <w:link w:val="Listtasand4Char"/>
    <w:qFormat/>
    <w:rsid w:val="00DD6BDE"/>
    <w:pPr>
      <w:numPr>
        <w:ilvl w:val="3"/>
      </w:numPr>
      <w:tabs>
        <w:tab w:val="clear" w:pos="2836"/>
        <w:tab w:val="num" w:pos="2410"/>
      </w:tabs>
      <w:ind w:left="2410" w:hanging="850"/>
    </w:pPr>
  </w:style>
  <w:style w:type="character" w:customStyle="1" w:styleId="Listtasand4Char">
    <w:name w:val="List tasand 4 Char"/>
    <w:basedOn w:val="Listtasand3Char"/>
    <w:link w:val="Listtasand4"/>
    <w:rsid w:val="00DD6BDE"/>
    <w:rPr>
      <w:rFonts w:ascii="Arial" w:eastAsiaTheme="majorEastAsia" w:hAnsi="Arial" w:cstheme="majorBidi"/>
      <w:b w:val="0"/>
      <w:bCs w:val="0"/>
      <w:sz w:val="22"/>
      <w:szCs w:val="40"/>
      <w:lang w:val="et-EE"/>
    </w:rPr>
  </w:style>
  <w:style w:type="paragraph" w:customStyle="1" w:styleId="Ksimus">
    <w:name w:val="Küsimus"/>
    <w:basedOn w:val="ListParagraph"/>
    <w:link w:val="KsimusChar"/>
    <w:qFormat/>
    <w:rsid w:val="00353AD0"/>
    <w:pPr>
      <w:numPr>
        <w:numId w:val="3"/>
      </w:numPr>
    </w:pPr>
    <w:rPr>
      <w:b/>
      <w:bCs/>
    </w:rPr>
  </w:style>
  <w:style w:type="character" w:customStyle="1" w:styleId="KsimusChar">
    <w:name w:val="Küsimus Char"/>
    <w:basedOn w:val="ListParagraphChar"/>
    <w:link w:val="Ksimus"/>
    <w:rsid w:val="00353AD0"/>
    <w:rPr>
      <w:rFonts w:ascii="Arial" w:hAnsi="Arial"/>
      <w:b/>
      <w:bCs/>
      <w:sz w:val="22"/>
      <w:lang w:val="et-EE"/>
    </w:rPr>
  </w:style>
  <w:style w:type="paragraph" w:customStyle="1" w:styleId="Listtasand5">
    <w:name w:val="List tasand 5"/>
    <w:basedOn w:val="Listtasand4"/>
    <w:link w:val="Listtasand5Char"/>
    <w:qFormat/>
    <w:rsid w:val="00E337DB"/>
    <w:pPr>
      <w:numPr>
        <w:ilvl w:val="4"/>
      </w:numPr>
      <w:ind w:hanging="1135"/>
    </w:pPr>
  </w:style>
  <w:style w:type="character" w:customStyle="1" w:styleId="Listtasand5Char">
    <w:name w:val="List tasand 5 Char"/>
    <w:basedOn w:val="Listtasand4Char"/>
    <w:link w:val="Listtasand5"/>
    <w:rsid w:val="00E337DB"/>
    <w:rPr>
      <w:rFonts w:ascii="Arial" w:eastAsiaTheme="majorEastAsia" w:hAnsi="Arial" w:cstheme="majorBidi"/>
      <w:b w:val="0"/>
      <w:bCs w:val="0"/>
      <w:sz w:val="22"/>
      <w:szCs w:val="40"/>
      <w:lang w:val="et-EE"/>
    </w:rPr>
  </w:style>
  <w:style w:type="paragraph" w:styleId="Revision">
    <w:name w:val="Revision"/>
    <w:hidden/>
    <w:uiPriority w:val="99"/>
    <w:semiHidden/>
    <w:rsid w:val="00A54C53"/>
    <w:pPr>
      <w:spacing w:after="0" w:line="240" w:lineRule="auto"/>
    </w:pPr>
    <w:rPr>
      <w:rFonts w:ascii="Arial" w:hAnsi="Arial"/>
      <w:sz w:val="22"/>
      <w:lang w:val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4B6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C50"/>
    <w:rPr>
      <w:rFonts w:ascii="Arial" w:hAnsi="Arial"/>
      <w:sz w:val="20"/>
      <w:szCs w:val="20"/>
      <w:lang w:val="et-E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C50"/>
    <w:rPr>
      <w:rFonts w:ascii="Arial" w:hAnsi="Arial"/>
      <w:b/>
      <w:bCs/>
      <w:sz w:val="20"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ex.luik@justdigi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wipolex/en/legislation/details/22374" TargetMode="External"/><Relationship Id="rId2" Type="http://schemas.openxmlformats.org/officeDocument/2006/relationships/hyperlink" Target="https://e-tar.lt/portal/lt/legalAct/a55f4850511c11e9975f9c35aedfe438/asr" TargetMode="External"/><Relationship Id="rId1" Type="http://schemas.openxmlformats.org/officeDocument/2006/relationships/hyperlink" Target="https://doi.org/10.1093/jiplp/jpab107" TargetMode="External"/><Relationship Id="rId6" Type="http://schemas.openxmlformats.org/officeDocument/2006/relationships/hyperlink" Target="https://www.law.berkeley.edu/files/Wang_Faye_Fangfei_IPSC_paper_2014.pdf" TargetMode="External"/><Relationship Id="rId5" Type="http://schemas.openxmlformats.org/officeDocument/2006/relationships/hyperlink" Target="https://dspace.ut.ee/server/api/core/bitstreams/6db27921-76fb-4165-8953-460bd0c1352d/content" TargetMode="External"/><Relationship Id="rId4" Type="http://schemas.openxmlformats.org/officeDocument/2006/relationships/hyperlink" Target="https://dspace.ut.ee/server/api/core/bitstreams/6db27921-76fb-4165-8953-460bd0c1352d/cont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D1FEF00EB41044B539BE70F772101F" ma:contentTypeVersion="3" ma:contentTypeDescription="Loo uus dokument" ma:contentTypeScope="" ma:versionID="fa8744130d5d553e8c5a484d4aa36c1f">
  <xsd:schema xmlns:xsd="http://www.w3.org/2001/XMLSchema" xmlns:xs="http://www.w3.org/2001/XMLSchema" xmlns:p="http://schemas.microsoft.com/office/2006/metadata/properties" xmlns:ns2="26fb9f06-8aba-41a7-83b8-5e284b42ec91" targetNamespace="http://schemas.microsoft.com/office/2006/metadata/properties" ma:root="true" ma:fieldsID="20f839c6eedb408dbba6acf959245fd0" ns2:_="">
    <xsd:import namespace="26fb9f06-8aba-41a7-83b8-5e284b42e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fb9f06-8aba-41a7-83b8-5e284b42e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3072C-364D-462A-8BEC-A1C5827171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C3D27C-C177-4075-994C-63E3B331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fb9f06-8aba-41a7-83b8-5e284b42e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5B3E68-CA42-41E4-A112-C8EDB547A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04F310A-69DC-48EE-A6DF-41164868A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12</Pages>
  <Words>4332</Words>
  <Characters>31283</Characters>
  <Application>Microsoft Office Word</Application>
  <DocSecurity>0</DocSecurity>
  <Lines>460</Lines>
  <Paragraphs>129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35486</CharactersWithSpaces>
  <SharedDoc>false</SharedDoc>
  <HLinks>
    <vt:vector size="126" baseType="variant">
      <vt:variant>
        <vt:i4>458879</vt:i4>
      </vt:variant>
      <vt:variant>
        <vt:i4>45</vt:i4>
      </vt:variant>
      <vt:variant>
        <vt:i4>0</vt:i4>
      </vt:variant>
      <vt:variant>
        <vt:i4>5</vt:i4>
      </vt:variant>
      <vt:variant>
        <vt:lpwstr>mailto:alex.luik@justdigi.ee</vt:lpwstr>
      </vt:variant>
      <vt:variant>
        <vt:lpwstr/>
      </vt:variant>
      <vt:variant>
        <vt:i4>1179711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_Toc226387338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_Toc226387337</vt:lpwstr>
      </vt:variant>
      <vt:variant>
        <vt:i4>1179711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_Toc226387336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_Toc226387335</vt:lpwstr>
      </vt:variant>
      <vt:variant>
        <vt:i4>1179711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_Toc226387334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_Toc226387333</vt:lpwstr>
      </vt:variant>
      <vt:variant>
        <vt:i4>1179711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_Toc226387332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_Toc226387331</vt:lpwstr>
      </vt:variant>
      <vt:variant>
        <vt:i4>1179711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_Toc226387330</vt:lpwstr>
      </vt:variant>
      <vt:variant>
        <vt:i4>1245247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_Toc226387329</vt:lpwstr>
      </vt:variant>
      <vt:variant>
        <vt:i4>1245247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_Toc226387328</vt:lpwstr>
      </vt:variant>
      <vt:variant>
        <vt:i4>1245247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_Toc226387327</vt:lpwstr>
      </vt:variant>
      <vt:variant>
        <vt:i4>1245247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_Toc226387326</vt:lpwstr>
      </vt:variant>
      <vt:variant>
        <vt:i4>1245247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_Toc226387325</vt:lpwstr>
      </vt:variant>
      <vt:variant>
        <vt:i4>3932255</vt:i4>
      </vt:variant>
      <vt:variant>
        <vt:i4>15</vt:i4>
      </vt:variant>
      <vt:variant>
        <vt:i4>0</vt:i4>
      </vt:variant>
      <vt:variant>
        <vt:i4>5</vt:i4>
      </vt:variant>
      <vt:variant>
        <vt:lpwstr>https://www.law.berkeley.edu/files/Wang_Faye_Fangfei_IPSC_paper_2014.pdf</vt:lpwstr>
      </vt:variant>
      <vt:variant>
        <vt:lpwstr/>
      </vt:variant>
      <vt:variant>
        <vt:i4>1900639</vt:i4>
      </vt:variant>
      <vt:variant>
        <vt:i4>12</vt:i4>
      </vt:variant>
      <vt:variant>
        <vt:i4>0</vt:i4>
      </vt:variant>
      <vt:variant>
        <vt:i4>5</vt:i4>
      </vt:variant>
      <vt:variant>
        <vt:lpwstr>https://dspace.ut.ee/server/api/core/bitstreams/6db27921-76fb-4165-8953-460bd0c1352d/content</vt:lpwstr>
      </vt:variant>
      <vt:variant>
        <vt:lpwstr/>
      </vt:variant>
      <vt:variant>
        <vt:i4>1900639</vt:i4>
      </vt:variant>
      <vt:variant>
        <vt:i4>9</vt:i4>
      </vt:variant>
      <vt:variant>
        <vt:i4>0</vt:i4>
      </vt:variant>
      <vt:variant>
        <vt:i4>5</vt:i4>
      </vt:variant>
      <vt:variant>
        <vt:lpwstr>https://dspace.ut.ee/server/api/core/bitstreams/6db27921-76fb-4165-8953-460bd0c1352d/content</vt:lpwstr>
      </vt:variant>
      <vt:variant>
        <vt:lpwstr/>
      </vt:variant>
      <vt:variant>
        <vt:i4>1835039</vt:i4>
      </vt:variant>
      <vt:variant>
        <vt:i4>6</vt:i4>
      </vt:variant>
      <vt:variant>
        <vt:i4>0</vt:i4>
      </vt:variant>
      <vt:variant>
        <vt:i4>5</vt:i4>
      </vt:variant>
      <vt:variant>
        <vt:lpwstr>https://www.wipo.int/wipolex/en/legislation/details/22374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https://e-tar.lt/portal/lt/legalAct/a55f4850511c11e9975f9c35aedfe438/asr</vt:lpwstr>
      </vt:variant>
      <vt:variant>
        <vt:lpwstr/>
      </vt:variant>
      <vt:variant>
        <vt:i4>1179657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https://doi.org/10.1093/jiplp/jpab107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Luik - JUSTDIGI</dc:creator>
  <cp:keywords/>
  <dc:description/>
  <cp:lastModifiedBy>Alex Luik</cp:lastModifiedBy>
  <cp:revision>188</cp:revision>
  <dcterms:created xsi:type="dcterms:W3CDTF">2026-04-23T17:44:00Z</dcterms:created>
  <dcterms:modified xsi:type="dcterms:W3CDTF">2026-05-08T11:30:00Z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0x010100C6D1FEF00EB41044B539BE70F772101F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2025-07-23T10:14:26Z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49617dfa-5164-4517-b732-1869effd06dd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docLang">
    <vt:lpwstr>et</vt:lpwstr>
  </property>
</Properties>
</file>